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19.3 -->
  <w:body>
    <w:p w:rsidR="00B603BE" w:rsidRPr="008D2D31" w:rsidP="002D61C1">
      <w:pPr>
        <w:pStyle w:val="BoldModelerNormal"/>
      </w:pPr>
    </w:p>
    <w:p w:rsidR="00216656" w:rsidP="002D61C1">
      <w:pPr>
        <w:pStyle w:val="BoldModelerNormal"/>
      </w:pPr>
    </w:p>
    <w:p w:rsidR="00216656" w:rsidP="002D61C1">
      <w:pPr>
        <w:pStyle w:val="BoldModelerNormal"/>
      </w:pPr>
    </w:p>
    <w:p w:rsidR="00216656" w:rsidP="002D61C1">
      <w:pPr>
        <w:pStyle w:val="BoldModelerNormal"/>
      </w:pPr>
    </w:p>
    <w:p w:rsidR="00216656" w:rsidP="002D61C1">
      <w:pPr>
        <w:pStyle w:val="BoldModelerNormal"/>
      </w:pPr>
    </w:p>
    <w:p w:rsidR="00216656" w:rsidP="002D61C1">
      <w:pPr>
        <w:pStyle w:val="BoldModelerNormal"/>
      </w:pPr>
    </w:p>
    <w:p w:rsidR="00216656" w:rsidP="002D61C1">
      <w:pPr>
        <w:pStyle w:val="BoldModelerNormal"/>
      </w:pPr>
    </w:p>
    <w:p w:rsidR="00216656" w:rsidP="002D61C1">
      <w:pPr>
        <w:pStyle w:val="BoldModelerNormal"/>
      </w:pPr>
    </w:p>
    <w:p w:rsidR="00216656" w:rsidP="002D61C1">
      <w:pPr>
        <w:pStyle w:val="BoldModelerNormal"/>
      </w:pPr>
    </w:p>
    <w:p w:rsidR="00216656" w:rsidP="002D61C1">
      <w:pPr>
        <w:pStyle w:val="bizTitle"/>
        <w:jc w:val="right"/>
      </w:pPr>
      <w:bookmarkStart w:id="0" w:name="_Toc256000000"/>
      <w:r>
        <w:t>Redesenhos dos fluxos de entrada e saída do doador (ciclo do doador)</w:t>
      </w:r>
      <w:bookmarkEnd w:id="0"/>
    </w:p>
    <w:p w:rsidR="00216656" w:rsidP="002D61C1">
      <w:pPr>
        <w:pStyle w:val="bizSubtitle"/>
        <w:jc w:val="right"/>
      </w:pPr>
      <w:bookmarkStart w:id="1" w:name="_Toc256000001"/>
      <w:r>
        <w:t>Bizagi Modeler</w:t>
      </w:r>
      <w:bookmarkEnd w:id="1"/>
    </w:p>
    <w:p w:rsidR="00216656">
      <w:pPr>
        <w:sectPr w:rsidSect="00B603BE">
          <w:headerReference w:type="default" r:id="rId5"/>
          <w:footerReference w:type="default" r:id="rId6"/>
          <w:pgSz w:w="12240" w:h="15840" w:code="1"/>
          <w:pgMar w:top="1616" w:right="1701" w:bottom="1418" w:left="1701" w:header="709" w:footer="255" w:gutter="0"/>
          <w:cols w:space="708"/>
          <w:titlePg/>
          <w:docGrid w:linePitch="360"/>
        </w:sectPr>
      </w:pPr>
      <w:r>
        <w:tab/>
      </w:r>
    </w:p>
    <w:p w:rsidR="00AE3ACF" w:rsidRPr="008D2D31" w:rsidP="00854218">
      <w:pPr>
        <w:jc w:val="center"/>
      </w:pPr>
      <w:r w:rsidRPr="008D2D31">
        <w:t>Índice</w:t>
      </w:r>
      <w:r w:rsidRPr="008D2D31">
        <w:fldChar w:fldCharType="begin"/>
      </w:r>
      <w:r w:rsidRPr="008D2D31">
        <w:instrText>TOC \o "1-4" \h \z \u</w:instrText>
      </w:r>
      <w:r w:rsidRPr="008D2D31">
        <w:fldChar w:fldCharType="separate"/>
      </w:r>
    </w:p>
    <w:p>
      <w:pPr>
        <w:pStyle w:val="TOC1"/>
        <w:tabs>
          <w:tab w:val="right" w:leader="dot" w:pos="8828"/>
        </w:tabs>
        <w:rPr>
          <w:rFonts w:ascii="Calibri" w:hAnsi="Calibri"/>
          <w:noProof/>
          <w:sz w:val="22"/>
        </w:rPr>
      </w:pPr>
      <w:hyperlink w:anchor="_Toc256000000" w:history="1">
        <w:r w:rsidR="00216656">
          <w:rPr>
            <w:rStyle w:val="Hyperlink"/>
          </w:rPr>
          <w:t>Redesenhos dos fluxos de entrada e saída do doador (ciclo do doador)</w:t>
        </w:r>
        <w:r>
          <w:tab/>
        </w:r>
        <w:r>
          <w:fldChar w:fldCharType="begin"/>
        </w:r>
        <w:r>
          <w:instrText xml:space="preserve"> PAGEREF _Toc256000000 \h </w:instrText>
        </w:r>
        <w:r>
          <w:fldChar w:fldCharType="separate"/>
        </w:r>
        <w:r>
          <w:t>1</w:t>
        </w:r>
        <w:r>
          <w:fldChar w:fldCharType="end"/>
        </w:r>
      </w:hyperlink>
    </w:p>
    <w:p>
      <w:pPr>
        <w:pStyle w:val="TOC2"/>
        <w:rPr>
          <w:rFonts w:ascii="Calibri" w:hAnsi="Calibri"/>
          <w:noProof/>
          <w:sz w:val="22"/>
        </w:rPr>
      </w:pPr>
      <w:hyperlink w:anchor="_Toc256000001" w:history="1">
        <w:r w:rsidR="00216656">
          <w:rPr>
            <w:rStyle w:val="Hyperlink"/>
          </w:rPr>
          <w:t>Bizagi Modeler</w:t>
        </w:r>
        <w:r>
          <w:tab/>
        </w:r>
        <w:r>
          <w:fldChar w:fldCharType="begin"/>
        </w:r>
        <w:r>
          <w:instrText xml:space="preserve"> PAGEREF _Toc256000001 \h </w:instrText>
        </w:r>
        <w:r>
          <w:fldChar w:fldCharType="separate"/>
        </w:r>
        <w:r>
          <w:t>1</w:t>
        </w:r>
        <w:r>
          <w:fldChar w:fldCharType="end"/>
        </w:r>
      </w:hyperlink>
    </w:p>
    <w:p>
      <w:pPr>
        <w:pStyle w:val="TOC1"/>
        <w:tabs>
          <w:tab w:val="left" w:pos="403"/>
          <w:tab w:val="right" w:leader="dot" w:pos="8828"/>
        </w:tabs>
        <w:rPr>
          <w:rFonts w:ascii="Calibri" w:hAnsi="Calibri"/>
          <w:noProof/>
          <w:sz w:val="22"/>
        </w:rPr>
      </w:pPr>
      <w:hyperlink w:anchor="_Toc256000002" w:history="1">
        <w:r>
          <w:rPr>
            <w:rStyle w:val="Hyperlink"/>
          </w:rPr>
          <w:t>1</w:t>
        </w:r>
        <w:r>
          <w:rPr>
            <w:rFonts w:ascii="Calibri" w:hAnsi="Calibri"/>
            <w:noProof/>
            <w:sz w:val="22"/>
          </w:rPr>
          <w:tab/>
        </w:r>
        <w:r>
          <w:rPr>
            <w:rStyle w:val="Hyperlink"/>
          </w:rPr>
          <w:t>TO BE - Triagem Clínica</w:t>
        </w:r>
        <w:r>
          <w:tab/>
        </w:r>
        <w:r>
          <w:fldChar w:fldCharType="begin"/>
        </w:r>
        <w:r>
          <w:instrText xml:space="preserve"> PAGEREF _Toc256000002 \h </w:instrText>
        </w:r>
        <w:r>
          <w:fldChar w:fldCharType="separate"/>
        </w:r>
        <w:r>
          <w:t>3</w:t>
        </w:r>
        <w:r>
          <w:fldChar w:fldCharType="end"/>
        </w:r>
      </w:hyperlink>
    </w:p>
    <w:p>
      <w:pPr>
        <w:pStyle w:val="TOC2"/>
        <w:tabs>
          <w:tab w:val="left" w:pos="800"/>
        </w:tabs>
        <w:rPr>
          <w:rFonts w:ascii="Calibri" w:hAnsi="Calibri"/>
          <w:noProof/>
          <w:sz w:val="22"/>
        </w:rPr>
      </w:pPr>
      <w:hyperlink w:anchor="_Toc256000003" w:history="1">
        <w:r>
          <w:rPr>
            <w:rStyle w:val="Hyperlink"/>
          </w:rPr>
          <w:t>1.1</w:t>
        </w:r>
        <w:r>
          <w:rPr>
            <w:rFonts w:ascii="Calibri" w:hAnsi="Calibri"/>
            <w:noProof/>
            <w:sz w:val="22"/>
          </w:rPr>
          <w:tab/>
        </w:r>
        <w:r>
          <w:rPr>
            <w:rStyle w:val="Hyperlink"/>
          </w:rPr>
          <w:t>GESTÃO DE RECEPÇÃO DE DOADORES - Triagem Clínica</w:t>
        </w:r>
        <w:r>
          <w:tab/>
        </w:r>
        <w:r>
          <w:fldChar w:fldCharType="begin"/>
        </w:r>
        <w:r>
          <w:instrText xml:space="preserve"> PAGEREF _Toc256000003 \h </w:instrText>
        </w:r>
        <w:r>
          <w:fldChar w:fldCharType="separate"/>
        </w:r>
        <w:r>
          <w:t>6</w:t>
        </w:r>
        <w:r>
          <w:fldChar w:fldCharType="end"/>
        </w:r>
      </w:hyperlink>
    </w:p>
    <w:p>
      <w:pPr>
        <w:pStyle w:val="TOC3"/>
        <w:tabs>
          <w:tab w:val="left" w:pos="1320"/>
        </w:tabs>
        <w:rPr>
          <w:rFonts w:ascii="Calibri" w:hAnsi="Calibri"/>
          <w:noProof/>
          <w:sz w:val="22"/>
        </w:rPr>
      </w:pPr>
      <w:hyperlink w:anchor="_Toc256000004" w:history="1">
        <w:r>
          <w:rPr>
            <w:rStyle w:val="Hyperlink"/>
          </w:rPr>
          <w:t>1.1.1</w:t>
        </w:r>
        <w:r>
          <w:rPr>
            <w:rFonts w:ascii="Calibri" w:hAnsi="Calibri"/>
            <w:noProof/>
            <w:sz w:val="22"/>
          </w:rPr>
          <w:tab/>
        </w:r>
        <w:r>
          <w:rPr>
            <w:rStyle w:val="Hyperlink"/>
          </w:rPr>
          <w:t>Elementos do processo</w:t>
        </w:r>
        <w:r>
          <w:tab/>
        </w:r>
        <w:r>
          <w:fldChar w:fldCharType="begin"/>
        </w:r>
        <w:r>
          <w:instrText xml:space="preserve"> PAGEREF _Toc256000004 \h </w:instrText>
        </w:r>
        <w:r>
          <w:fldChar w:fldCharType="separate"/>
        </w:r>
        <w:r>
          <w:t>6</w:t>
        </w:r>
        <w:r>
          <w:fldChar w:fldCharType="end"/>
        </w:r>
      </w:hyperlink>
    </w:p>
    <w:p>
      <w:pPr>
        <w:pStyle w:val="TOC4"/>
        <w:tabs>
          <w:tab w:val="left" w:pos="1760"/>
          <w:tab w:val="right" w:leader="dot" w:pos="8828"/>
        </w:tabs>
        <w:rPr>
          <w:rFonts w:ascii="Calibri" w:hAnsi="Calibri"/>
          <w:noProof/>
          <w:sz w:val="22"/>
        </w:rPr>
      </w:pPr>
      <w:hyperlink w:anchor="_Toc256000005" w:history="1">
        <w:r>
          <w:rPr>
            <w:rStyle w:val="Hyperlink"/>
          </w:rPr>
          <w:t>1.1.1.1</w:t>
        </w:r>
        <w:r>
          <w:rPr>
            <w:rFonts w:ascii="Calibri" w:hAnsi="Calibri"/>
            <w:noProof/>
            <w:sz w:val="22"/>
          </w:rPr>
          <w:tab/>
        </w:r>
        <w:r>
          <w:drawing>
            <wp:inline>
              <wp:extent cx="152421" cy="152421"/>
              <wp:docPr id="100003"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3439540" name=""/>
                      <pic:cNvPicPr>
                        <a:picLocks noChangeAspect="1"/>
                      </pic:cNvPicPr>
                    </pic:nvPicPr>
                    <pic:blipFill>
                      <a:blip xmlns:r="http://schemas.openxmlformats.org/officeDocument/2006/relationships" r:embed="rId7"/>
                      <a:stretch>
                        <a:fillRect/>
                      </a:stretch>
                    </pic:blipFill>
                    <pic:spPr>
                      <a:xfrm>
                        <a:off x="0" y="0"/>
                        <a:ext cx="152421" cy="152421"/>
                      </a:xfrm>
                      <a:prstGeom prst="rect">
                        <a:avLst/>
                      </a:prstGeom>
                    </pic:spPr>
                  </pic:pic>
                </a:graphicData>
              </a:graphic>
            </wp:inline>
          </w:drawing>
        </w:r>
        <w:r>
          <w:rPr>
            <w:rStyle w:val="Hyperlink"/>
          </w:rPr>
          <w:t>1- Conferir lista de espera</w:t>
        </w:r>
        <w:r>
          <w:tab/>
        </w:r>
        <w:r>
          <w:fldChar w:fldCharType="begin"/>
        </w:r>
        <w:r>
          <w:instrText xml:space="preserve"> PAGEREF _Toc256000005 \h </w:instrText>
        </w:r>
        <w:r>
          <w:fldChar w:fldCharType="separate"/>
        </w:r>
        <w:r>
          <w:t>6</w:t>
        </w:r>
        <w:r>
          <w:fldChar w:fldCharType="end"/>
        </w:r>
      </w:hyperlink>
    </w:p>
    <w:p>
      <w:pPr>
        <w:pStyle w:val="TOC4"/>
        <w:tabs>
          <w:tab w:val="left" w:pos="1760"/>
          <w:tab w:val="right" w:leader="dot" w:pos="8828"/>
        </w:tabs>
        <w:rPr>
          <w:rFonts w:ascii="Calibri" w:hAnsi="Calibri"/>
          <w:noProof/>
          <w:sz w:val="22"/>
        </w:rPr>
      </w:pPr>
      <w:hyperlink w:anchor="_Toc256000006" w:history="1">
        <w:r>
          <w:rPr>
            <w:rStyle w:val="Hyperlink"/>
          </w:rPr>
          <w:t>1.1.1.2</w:t>
        </w:r>
        <w:r>
          <w:rPr>
            <w:rFonts w:ascii="Calibri" w:hAnsi="Calibri"/>
            <w:noProof/>
            <w:sz w:val="22"/>
          </w:rPr>
          <w:tab/>
        </w:r>
        <w:r>
          <w:drawing>
            <wp:inline>
              <wp:extent cx="152421" cy="152421"/>
              <wp:docPr id="100004"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1346502" name=""/>
                      <pic:cNvPicPr>
                        <a:picLocks noChangeAspect="1"/>
                      </pic:cNvPicPr>
                    </pic:nvPicPr>
                    <pic:blipFill>
                      <a:blip xmlns:r="http://schemas.openxmlformats.org/officeDocument/2006/relationships" r:embed="rId7"/>
                      <a:stretch>
                        <a:fillRect/>
                      </a:stretch>
                    </pic:blipFill>
                    <pic:spPr>
                      <a:xfrm>
                        <a:off x="0" y="0"/>
                        <a:ext cx="152421" cy="152421"/>
                      </a:xfrm>
                      <a:prstGeom prst="rect">
                        <a:avLst/>
                      </a:prstGeom>
                    </pic:spPr>
                  </pic:pic>
                </a:graphicData>
              </a:graphic>
            </wp:inline>
          </w:drawing>
        </w:r>
        <w:r>
          <w:rPr>
            <w:rStyle w:val="Hyperlink"/>
          </w:rPr>
          <w:t>2- Realizar consulta médica</w:t>
        </w:r>
        <w:r>
          <w:tab/>
        </w:r>
        <w:r>
          <w:fldChar w:fldCharType="begin"/>
        </w:r>
        <w:r>
          <w:instrText xml:space="preserve"> PAGEREF _Toc256000006 \h </w:instrText>
        </w:r>
        <w:r>
          <w:fldChar w:fldCharType="separate"/>
        </w:r>
        <w:r>
          <w:t>6</w:t>
        </w:r>
        <w:r>
          <w:fldChar w:fldCharType="end"/>
        </w:r>
      </w:hyperlink>
    </w:p>
    <w:p>
      <w:pPr>
        <w:pStyle w:val="TOC4"/>
        <w:tabs>
          <w:tab w:val="left" w:pos="1760"/>
          <w:tab w:val="right" w:leader="dot" w:pos="8828"/>
        </w:tabs>
        <w:rPr>
          <w:rFonts w:ascii="Calibri" w:hAnsi="Calibri"/>
          <w:noProof/>
          <w:sz w:val="22"/>
        </w:rPr>
      </w:pPr>
      <w:hyperlink w:anchor="_Toc256000007" w:history="1">
        <w:r>
          <w:rPr>
            <w:rStyle w:val="Hyperlink"/>
          </w:rPr>
          <w:t>1.1.1.3</w:t>
        </w:r>
        <w:r>
          <w:rPr>
            <w:rFonts w:ascii="Calibri" w:hAnsi="Calibri"/>
            <w:noProof/>
            <w:sz w:val="22"/>
          </w:rPr>
          <w:tab/>
        </w:r>
        <w:r>
          <w:drawing>
            <wp:inline>
              <wp:extent cx="152421" cy="152421"/>
              <wp:docPr id="100005"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2945218" name=""/>
                      <pic:cNvPicPr>
                        <a:picLocks noChangeAspect="1"/>
                      </pic:cNvPicPr>
                    </pic:nvPicPr>
                    <pic:blipFill>
                      <a:blip xmlns:r="http://schemas.openxmlformats.org/officeDocument/2006/relationships" r:embed="rId8"/>
                      <a:stretch>
                        <a:fillRect/>
                      </a:stretch>
                    </pic:blipFill>
                    <pic:spPr>
                      <a:xfrm>
                        <a:off x="0" y="0"/>
                        <a:ext cx="152421" cy="152421"/>
                      </a:xfrm>
                      <a:prstGeom prst="rect">
                        <a:avLst/>
                      </a:prstGeom>
                    </pic:spPr>
                  </pic:pic>
                </a:graphicData>
              </a:graphic>
            </wp:inline>
          </w:drawing>
        </w:r>
        <w:r>
          <w:rPr>
            <w:rStyle w:val="Hyperlink"/>
          </w:rPr>
          <w:t>Realização da triagem</w:t>
        </w:r>
        <w:r>
          <w:tab/>
        </w:r>
        <w:r>
          <w:fldChar w:fldCharType="begin"/>
        </w:r>
        <w:r>
          <w:instrText xml:space="preserve"> PAGEREF _Toc256000007 \h </w:instrText>
        </w:r>
        <w:r>
          <w:fldChar w:fldCharType="separate"/>
        </w:r>
        <w:r>
          <w:t>7</w:t>
        </w:r>
        <w:r>
          <w:fldChar w:fldCharType="end"/>
        </w:r>
      </w:hyperlink>
    </w:p>
    <w:p>
      <w:pPr>
        <w:pStyle w:val="TOC4"/>
        <w:tabs>
          <w:tab w:val="left" w:pos="1760"/>
          <w:tab w:val="right" w:leader="dot" w:pos="8828"/>
        </w:tabs>
        <w:rPr>
          <w:rFonts w:ascii="Calibri" w:hAnsi="Calibri"/>
          <w:noProof/>
          <w:sz w:val="22"/>
        </w:rPr>
      </w:pPr>
      <w:hyperlink w:anchor="_Toc256000008" w:history="1">
        <w:r>
          <w:rPr>
            <w:rStyle w:val="Hyperlink"/>
          </w:rPr>
          <w:t>1.1.1.4</w:t>
        </w:r>
        <w:r>
          <w:rPr>
            <w:rFonts w:ascii="Calibri" w:hAnsi="Calibri"/>
            <w:noProof/>
            <w:sz w:val="22"/>
          </w:rPr>
          <w:tab/>
        </w:r>
        <w:r>
          <w:drawing>
            <wp:inline>
              <wp:extent cx="152421" cy="152421"/>
              <wp:docPr id="100006"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2351584" name=""/>
                      <pic:cNvPicPr>
                        <a:picLocks noChangeAspect="1"/>
                      </pic:cNvPicPr>
                    </pic:nvPicPr>
                    <pic:blipFill>
                      <a:blip xmlns:r="http://schemas.openxmlformats.org/officeDocument/2006/relationships" r:embed="rId8"/>
                      <a:stretch>
                        <a:fillRect/>
                      </a:stretch>
                    </pic:blipFill>
                    <pic:spPr>
                      <a:xfrm>
                        <a:off x="0" y="0"/>
                        <a:ext cx="152421" cy="152421"/>
                      </a:xfrm>
                      <a:prstGeom prst="rect">
                        <a:avLst/>
                      </a:prstGeom>
                    </pic:spPr>
                  </pic:pic>
                </a:graphicData>
              </a:graphic>
            </wp:inline>
          </w:drawing>
        </w:r>
        <w:r>
          <w:rPr>
            <w:rStyle w:val="Hyperlink"/>
          </w:rPr>
          <w:t>Realização da triagem</w:t>
        </w:r>
        <w:r>
          <w:tab/>
        </w:r>
        <w:r>
          <w:fldChar w:fldCharType="begin"/>
        </w:r>
        <w:r>
          <w:instrText xml:space="preserve"> PAGEREF _Toc256000008 \h </w:instrText>
        </w:r>
        <w:r>
          <w:fldChar w:fldCharType="separate"/>
        </w:r>
        <w:r>
          <w:t>7</w:t>
        </w:r>
        <w:r>
          <w:fldChar w:fldCharType="end"/>
        </w:r>
      </w:hyperlink>
    </w:p>
    <w:p>
      <w:pPr>
        <w:pStyle w:val="TOC4"/>
        <w:tabs>
          <w:tab w:val="left" w:pos="1760"/>
          <w:tab w:val="right" w:leader="dot" w:pos="8828"/>
        </w:tabs>
        <w:rPr>
          <w:rFonts w:ascii="Calibri" w:hAnsi="Calibri"/>
          <w:noProof/>
          <w:sz w:val="22"/>
        </w:rPr>
      </w:pPr>
      <w:hyperlink w:anchor="_Toc256000009" w:history="1">
        <w:r>
          <w:rPr>
            <w:rStyle w:val="Hyperlink"/>
          </w:rPr>
          <w:t>1.1.1.5</w:t>
        </w:r>
        <w:r>
          <w:rPr>
            <w:rFonts w:ascii="Calibri" w:hAnsi="Calibri"/>
            <w:noProof/>
            <w:sz w:val="22"/>
          </w:rPr>
          <w:tab/>
        </w:r>
        <w:r>
          <w:drawing>
            <wp:inline>
              <wp:extent cx="152421" cy="152421"/>
              <wp:docPr id="100007"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0234091" name=""/>
                      <pic:cNvPicPr>
                        <a:picLocks noChangeAspect="1"/>
                      </pic:cNvPicPr>
                    </pic:nvPicPr>
                    <pic:blipFill>
                      <a:blip xmlns:r="http://schemas.openxmlformats.org/officeDocument/2006/relationships" r:embed="rId9"/>
                      <a:stretch>
                        <a:fillRect/>
                      </a:stretch>
                    </pic:blipFill>
                    <pic:spPr>
                      <a:xfrm>
                        <a:off x="0" y="0"/>
                        <a:ext cx="152421" cy="152421"/>
                      </a:xfrm>
                      <a:prstGeom prst="rect">
                        <a:avLst/>
                      </a:prstGeom>
                    </pic:spPr>
                  </pic:pic>
                </a:graphicData>
              </a:graphic>
            </wp:inline>
          </w:drawing>
        </w:r>
        <w:r>
          <w:rPr>
            <w:rStyle w:val="Hyperlink"/>
          </w:rPr>
          <w:t>Resultado da aferição da 2ª pré triagem</w:t>
        </w:r>
        <w:r>
          <w:tab/>
        </w:r>
        <w:r>
          <w:fldChar w:fldCharType="begin"/>
        </w:r>
        <w:r>
          <w:instrText xml:space="preserve"> PAGEREF _Toc256000009 \h </w:instrText>
        </w:r>
        <w:r>
          <w:fldChar w:fldCharType="separate"/>
        </w:r>
        <w:r>
          <w:t>7</w:t>
        </w:r>
        <w:r>
          <w:fldChar w:fldCharType="end"/>
        </w:r>
      </w:hyperlink>
    </w:p>
    <w:p>
      <w:pPr>
        <w:pStyle w:val="TOC4"/>
        <w:tabs>
          <w:tab w:val="left" w:pos="1760"/>
          <w:tab w:val="right" w:leader="dot" w:pos="8828"/>
        </w:tabs>
        <w:rPr>
          <w:rFonts w:ascii="Calibri" w:hAnsi="Calibri"/>
          <w:noProof/>
          <w:sz w:val="22"/>
        </w:rPr>
      </w:pPr>
      <w:hyperlink w:anchor="_Toc256000010" w:history="1">
        <w:r>
          <w:rPr>
            <w:rStyle w:val="Hyperlink"/>
          </w:rPr>
          <w:t>1.1.1.6</w:t>
        </w:r>
        <w:r>
          <w:rPr>
            <w:rFonts w:ascii="Calibri" w:hAnsi="Calibri"/>
            <w:noProof/>
            <w:sz w:val="22"/>
          </w:rPr>
          <w:tab/>
        </w:r>
        <w:r>
          <w:drawing>
            <wp:inline>
              <wp:extent cx="152421" cy="152421"/>
              <wp:docPr id="100008"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6556265" name=""/>
                      <pic:cNvPicPr>
                        <a:picLocks noChangeAspect="1"/>
                      </pic:cNvPicPr>
                    </pic:nvPicPr>
                    <pic:blipFill>
                      <a:blip xmlns:r="http://schemas.openxmlformats.org/officeDocument/2006/relationships" r:embed="rId9"/>
                      <a:stretch>
                        <a:fillRect/>
                      </a:stretch>
                    </pic:blipFill>
                    <pic:spPr>
                      <a:xfrm>
                        <a:off x="0" y="0"/>
                        <a:ext cx="152421" cy="152421"/>
                      </a:xfrm>
                      <a:prstGeom prst="rect">
                        <a:avLst/>
                      </a:prstGeom>
                    </pic:spPr>
                  </pic:pic>
                </a:graphicData>
              </a:graphic>
            </wp:inline>
          </w:drawing>
        </w:r>
        <w:r>
          <w:rPr>
            <w:rStyle w:val="Hyperlink"/>
          </w:rPr>
          <w:t>Realização da triagem</w:t>
        </w:r>
        <w:r>
          <w:tab/>
        </w:r>
        <w:r>
          <w:fldChar w:fldCharType="begin"/>
        </w:r>
        <w:r>
          <w:instrText xml:space="preserve"> PAGEREF _Toc256000010 \h </w:instrText>
        </w:r>
        <w:r>
          <w:fldChar w:fldCharType="separate"/>
        </w:r>
        <w:r>
          <w:t>7</w:t>
        </w:r>
        <w:r>
          <w:fldChar w:fldCharType="end"/>
        </w:r>
      </w:hyperlink>
    </w:p>
    <w:p>
      <w:pPr>
        <w:pStyle w:val="TOC4"/>
        <w:tabs>
          <w:tab w:val="left" w:pos="1760"/>
          <w:tab w:val="right" w:leader="dot" w:pos="8828"/>
        </w:tabs>
        <w:rPr>
          <w:rFonts w:ascii="Calibri" w:hAnsi="Calibri"/>
          <w:noProof/>
          <w:sz w:val="22"/>
        </w:rPr>
      </w:pPr>
      <w:hyperlink w:anchor="_Toc256000011" w:history="1">
        <w:r>
          <w:rPr>
            <w:rStyle w:val="Hyperlink"/>
          </w:rPr>
          <w:t>1.1.1.7</w:t>
        </w:r>
        <w:r>
          <w:rPr>
            <w:rFonts w:ascii="Calibri" w:hAnsi="Calibri"/>
            <w:noProof/>
            <w:sz w:val="22"/>
          </w:rPr>
          <w:tab/>
        </w:r>
        <w:r>
          <w:drawing>
            <wp:inline>
              <wp:extent cx="152421" cy="152421"/>
              <wp:docPr id="100009"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9076069" name=""/>
                      <pic:cNvPicPr>
                        <a:picLocks noChangeAspect="1"/>
                      </pic:cNvPicPr>
                    </pic:nvPicPr>
                    <pic:blipFill>
                      <a:blip xmlns:r="http://schemas.openxmlformats.org/officeDocument/2006/relationships" r:embed="rId7"/>
                      <a:stretch>
                        <a:fillRect/>
                      </a:stretch>
                    </pic:blipFill>
                    <pic:spPr>
                      <a:xfrm>
                        <a:off x="0" y="0"/>
                        <a:ext cx="152421" cy="152421"/>
                      </a:xfrm>
                      <a:prstGeom prst="rect">
                        <a:avLst/>
                      </a:prstGeom>
                    </pic:spPr>
                  </pic:pic>
                </a:graphicData>
              </a:graphic>
            </wp:inline>
          </w:drawing>
        </w:r>
        <w:r>
          <w:rPr>
            <w:rStyle w:val="Hyperlink"/>
          </w:rPr>
          <w:t>2-Realizar triagem clínica</w:t>
        </w:r>
        <w:r>
          <w:tab/>
        </w:r>
        <w:r>
          <w:fldChar w:fldCharType="begin"/>
        </w:r>
        <w:r>
          <w:instrText xml:space="preserve"> PAGEREF _Toc256000011 \h </w:instrText>
        </w:r>
        <w:r>
          <w:fldChar w:fldCharType="separate"/>
        </w:r>
        <w:r>
          <w:t>7</w:t>
        </w:r>
        <w:r>
          <w:fldChar w:fldCharType="end"/>
        </w:r>
      </w:hyperlink>
    </w:p>
    <w:p>
      <w:pPr>
        <w:pStyle w:val="TOC4"/>
        <w:tabs>
          <w:tab w:val="left" w:pos="1760"/>
          <w:tab w:val="right" w:leader="dot" w:pos="8828"/>
        </w:tabs>
        <w:rPr>
          <w:rFonts w:ascii="Calibri" w:hAnsi="Calibri"/>
          <w:noProof/>
          <w:sz w:val="22"/>
        </w:rPr>
      </w:pPr>
      <w:hyperlink w:anchor="_Toc256000012" w:history="1">
        <w:r>
          <w:rPr>
            <w:rStyle w:val="Hyperlink"/>
          </w:rPr>
          <w:t>1.1.1.8</w:t>
        </w:r>
        <w:r>
          <w:rPr>
            <w:rFonts w:ascii="Calibri" w:hAnsi="Calibri"/>
            <w:noProof/>
            <w:sz w:val="22"/>
          </w:rPr>
          <w:tab/>
        </w:r>
        <w:r>
          <w:drawing>
            <wp:inline>
              <wp:extent cx="152421" cy="152421"/>
              <wp:docPr id="100010"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9031700" name=""/>
                      <pic:cNvPicPr>
                        <a:picLocks noChangeAspect="1"/>
                      </pic:cNvPicPr>
                    </pic:nvPicPr>
                    <pic:blipFill>
                      <a:blip xmlns:r="http://schemas.openxmlformats.org/officeDocument/2006/relationships" r:embed="rId7"/>
                      <a:stretch>
                        <a:fillRect/>
                      </a:stretch>
                    </pic:blipFill>
                    <pic:spPr>
                      <a:xfrm>
                        <a:off x="0" y="0"/>
                        <a:ext cx="152421" cy="152421"/>
                      </a:xfrm>
                      <a:prstGeom prst="rect">
                        <a:avLst/>
                      </a:prstGeom>
                    </pic:spPr>
                  </pic:pic>
                </a:graphicData>
              </a:graphic>
            </wp:inline>
          </w:drawing>
        </w:r>
        <w:r>
          <w:rPr>
            <w:rStyle w:val="Hyperlink"/>
          </w:rPr>
          <w:t>3- Concluir triagem clínica</w:t>
        </w:r>
        <w:r>
          <w:tab/>
        </w:r>
        <w:r>
          <w:fldChar w:fldCharType="begin"/>
        </w:r>
        <w:r>
          <w:instrText xml:space="preserve"> PAGEREF _Toc256000012 \h </w:instrText>
        </w:r>
        <w:r>
          <w:fldChar w:fldCharType="separate"/>
        </w:r>
        <w:r>
          <w:t>9</w:t>
        </w:r>
        <w:r>
          <w:fldChar w:fldCharType="end"/>
        </w:r>
      </w:hyperlink>
    </w:p>
    <w:p>
      <w:pPr>
        <w:pStyle w:val="TOC4"/>
        <w:tabs>
          <w:tab w:val="left" w:pos="1760"/>
          <w:tab w:val="right" w:leader="dot" w:pos="8828"/>
        </w:tabs>
        <w:rPr>
          <w:rFonts w:ascii="Calibri" w:hAnsi="Calibri"/>
          <w:noProof/>
          <w:sz w:val="22"/>
        </w:rPr>
      </w:pPr>
      <w:hyperlink w:anchor="_Toc256000013" w:history="1">
        <w:r>
          <w:rPr>
            <w:rStyle w:val="Hyperlink"/>
          </w:rPr>
          <w:t>1.1.1.9</w:t>
        </w:r>
        <w:r>
          <w:rPr>
            <w:rFonts w:ascii="Calibri" w:hAnsi="Calibri"/>
            <w:noProof/>
            <w:sz w:val="22"/>
          </w:rPr>
          <w:tab/>
        </w:r>
        <w:r>
          <w:drawing>
            <wp:inline>
              <wp:extent cx="152421" cy="152421"/>
              <wp:docPr id="10001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7437733" name=""/>
                      <pic:cNvPicPr>
                        <a:picLocks noChangeAspect="1"/>
                      </pic:cNvPicPr>
                    </pic:nvPicPr>
                    <pic:blipFill>
                      <a:blip xmlns:r="http://schemas.openxmlformats.org/officeDocument/2006/relationships" r:embed="rId10"/>
                      <a:stretch>
                        <a:fillRect/>
                      </a:stretch>
                    </pic:blipFill>
                    <pic:spPr>
                      <a:xfrm>
                        <a:off x="0" y="0"/>
                        <a:ext cx="152421" cy="152421"/>
                      </a:xfrm>
                      <a:prstGeom prst="rect">
                        <a:avLst/>
                      </a:prstGeom>
                    </pic:spPr>
                  </pic:pic>
                </a:graphicData>
              </a:graphic>
            </wp:inline>
          </w:drawing>
        </w:r>
        <w:r>
          <w:rPr>
            <w:rStyle w:val="Hyperlink"/>
          </w:rPr>
          <w:t>4- Calcular percentual do volume do sangue a ser coletado</w:t>
        </w:r>
        <w:r>
          <w:tab/>
        </w:r>
        <w:r>
          <w:fldChar w:fldCharType="begin"/>
        </w:r>
        <w:r>
          <w:instrText xml:space="preserve"> PAGEREF _Toc256000013 \h </w:instrText>
        </w:r>
        <w:r>
          <w:fldChar w:fldCharType="separate"/>
        </w:r>
        <w:r>
          <w:t>11</w:t>
        </w:r>
        <w:r>
          <w:fldChar w:fldCharType="end"/>
        </w:r>
      </w:hyperlink>
    </w:p>
    <w:p>
      <w:pPr>
        <w:pStyle w:val="TOC4"/>
        <w:tabs>
          <w:tab w:val="left" w:pos="1794"/>
          <w:tab w:val="right" w:leader="dot" w:pos="8828"/>
        </w:tabs>
        <w:rPr>
          <w:rFonts w:ascii="Calibri" w:hAnsi="Calibri"/>
          <w:noProof/>
          <w:sz w:val="22"/>
        </w:rPr>
      </w:pPr>
      <w:hyperlink w:anchor="_Toc256000014" w:history="1">
        <w:r>
          <w:rPr>
            <w:rStyle w:val="Hyperlink"/>
          </w:rPr>
          <w:t>1.1.1.10</w:t>
        </w:r>
        <w:r>
          <w:rPr>
            <w:rFonts w:ascii="Calibri" w:hAnsi="Calibri"/>
            <w:noProof/>
            <w:sz w:val="22"/>
          </w:rPr>
          <w:tab/>
        </w:r>
        <w:r>
          <w:drawing>
            <wp:inline>
              <wp:extent cx="152421" cy="152421"/>
              <wp:docPr id="100012"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7672997" name=""/>
                      <pic:cNvPicPr>
                        <a:picLocks noChangeAspect="1"/>
                      </pic:cNvPicPr>
                    </pic:nvPicPr>
                    <pic:blipFill>
                      <a:blip xmlns:r="http://schemas.openxmlformats.org/officeDocument/2006/relationships" r:embed="rId8"/>
                      <a:stretch>
                        <a:fillRect/>
                      </a:stretch>
                    </pic:blipFill>
                    <pic:spPr>
                      <a:xfrm>
                        <a:off x="0" y="0"/>
                        <a:ext cx="152421" cy="152421"/>
                      </a:xfrm>
                      <a:prstGeom prst="rect">
                        <a:avLst/>
                      </a:prstGeom>
                    </pic:spPr>
                  </pic:pic>
                </a:graphicData>
              </a:graphic>
            </wp:inline>
          </w:drawing>
        </w:r>
        <w:r>
          <w:rPr>
            <w:rStyle w:val="Hyperlink"/>
          </w:rPr>
          <w:t>Orientação</w:t>
        </w:r>
        <w:r>
          <w:tab/>
        </w:r>
        <w:r>
          <w:fldChar w:fldCharType="begin"/>
        </w:r>
        <w:r>
          <w:instrText xml:space="preserve"> PAGEREF _Toc256000014 \h </w:instrText>
        </w:r>
        <w:r>
          <w:fldChar w:fldCharType="separate"/>
        </w:r>
        <w:r>
          <w:t>12</w:t>
        </w:r>
        <w:r>
          <w:fldChar w:fldCharType="end"/>
        </w:r>
      </w:hyperlink>
    </w:p>
    <w:p>
      <w:pPr>
        <w:pStyle w:val="TOC4"/>
        <w:tabs>
          <w:tab w:val="left" w:pos="1794"/>
          <w:tab w:val="right" w:leader="dot" w:pos="8828"/>
        </w:tabs>
        <w:rPr>
          <w:rFonts w:ascii="Calibri" w:hAnsi="Calibri"/>
          <w:noProof/>
          <w:sz w:val="22"/>
        </w:rPr>
      </w:pPr>
      <w:hyperlink w:anchor="_Toc256000015" w:history="1">
        <w:r>
          <w:rPr>
            <w:rStyle w:val="Hyperlink"/>
          </w:rPr>
          <w:t>1.1.1.11</w:t>
        </w:r>
        <w:r>
          <w:rPr>
            <w:rFonts w:ascii="Calibri" w:hAnsi="Calibri"/>
            <w:noProof/>
            <w:sz w:val="22"/>
          </w:rPr>
          <w:tab/>
        </w:r>
        <w:r>
          <w:drawing>
            <wp:inline>
              <wp:extent cx="152421" cy="152421"/>
              <wp:docPr id="100013"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6364586" name=""/>
                      <pic:cNvPicPr>
                        <a:picLocks noChangeAspect="1"/>
                      </pic:cNvPicPr>
                    </pic:nvPicPr>
                    <pic:blipFill>
                      <a:blip xmlns:r="http://schemas.openxmlformats.org/officeDocument/2006/relationships" r:embed="rId8"/>
                      <a:stretch>
                        <a:fillRect/>
                      </a:stretch>
                    </pic:blipFill>
                    <pic:spPr>
                      <a:xfrm>
                        <a:off x="0" y="0"/>
                        <a:ext cx="152421" cy="152421"/>
                      </a:xfrm>
                      <a:prstGeom prst="rect">
                        <a:avLst/>
                      </a:prstGeom>
                    </pic:spPr>
                  </pic:pic>
                </a:graphicData>
              </a:graphic>
            </wp:inline>
          </w:drawing>
        </w:r>
        <w:r>
          <w:rPr>
            <w:rStyle w:val="Hyperlink"/>
          </w:rPr>
          <w:t>Resultado da aferição da 2ª pré triagem</w:t>
        </w:r>
        <w:r>
          <w:tab/>
        </w:r>
        <w:r>
          <w:fldChar w:fldCharType="begin"/>
        </w:r>
        <w:r>
          <w:instrText xml:space="preserve"> PAGEREF _Toc256000015 \h </w:instrText>
        </w:r>
        <w:r>
          <w:fldChar w:fldCharType="separate"/>
        </w:r>
        <w:r>
          <w:t>12</w:t>
        </w:r>
        <w:r>
          <w:fldChar w:fldCharType="end"/>
        </w:r>
      </w:hyperlink>
    </w:p>
    <w:p>
      <w:pPr>
        <w:pStyle w:val="TOC4"/>
        <w:tabs>
          <w:tab w:val="left" w:pos="1794"/>
          <w:tab w:val="right" w:leader="dot" w:pos="8828"/>
        </w:tabs>
        <w:rPr>
          <w:rFonts w:ascii="Calibri" w:hAnsi="Calibri"/>
          <w:noProof/>
          <w:sz w:val="22"/>
        </w:rPr>
      </w:pPr>
      <w:hyperlink w:anchor="_Toc256000016" w:history="1">
        <w:r>
          <w:rPr>
            <w:rStyle w:val="Hyperlink"/>
          </w:rPr>
          <w:t>1.1.1.12</w:t>
        </w:r>
        <w:r>
          <w:rPr>
            <w:rFonts w:ascii="Calibri" w:hAnsi="Calibri"/>
            <w:noProof/>
            <w:sz w:val="22"/>
          </w:rPr>
          <w:tab/>
        </w:r>
        <w:r>
          <w:drawing>
            <wp:inline>
              <wp:extent cx="152421" cy="152421"/>
              <wp:docPr id="100014"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8341072" name=""/>
                      <pic:cNvPicPr>
                        <a:picLocks noChangeAspect="1"/>
                      </pic:cNvPicPr>
                    </pic:nvPicPr>
                    <pic:blipFill>
                      <a:blip xmlns:r="http://schemas.openxmlformats.org/officeDocument/2006/relationships" r:embed="rId8"/>
                      <a:stretch>
                        <a:fillRect/>
                      </a:stretch>
                    </pic:blipFill>
                    <pic:spPr>
                      <a:xfrm>
                        <a:off x="0" y="0"/>
                        <a:ext cx="152421" cy="152421"/>
                      </a:xfrm>
                      <a:prstGeom prst="rect">
                        <a:avLst/>
                      </a:prstGeom>
                    </pic:spPr>
                  </pic:pic>
                </a:graphicData>
              </a:graphic>
            </wp:inline>
          </w:drawing>
        </w:r>
        <w:r>
          <w:rPr>
            <w:rStyle w:val="Hyperlink"/>
          </w:rPr>
          <w:t>Consultar inaptidão</w:t>
        </w:r>
        <w:r>
          <w:tab/>
        </w:r>
        <w:r>
          <w:fldChar w:fldCharType="begin"/>
        </w:r>
        <w:r>
          <w:instrText xml:space="preserve"> PAGEREF _Toc256000016 \h </w:instrText>
        </w:r>
        <w:r>
          <w:fldChar w:fldCharType="separate"/>
        </w:r>
        <w:r>
          <w:t>12</w:t>
        </w:r>
        <w:r>
          <w:fldChar w:fldCharType="end"/>
        </w:r>
      </w:hyperlink>
    </w:p>
    <w:p>
      <w:pPr>
        <w:pStyle w:val="TOC4"/>
        <w:tabs>
          <w:tab w:val="left" w:pos="1794"/>
          <w:tab w:val="right" w:leader="dot" w:pos="8828"/>
        </w:tabs>
        <w:rPr>
          <w:rFonts w:ascii="Calibri" w:hAnsi="Calibri"/>
          <w:noProof/>
          <w:sz w:val="22"/>
        </w:rPr>
      </w:pPr>
      <w:hyperlink w:anchor="_Toc256000017" w:history="1">
        <w:r>
          <w:rPr>
            <w:rStyle w:val="Hyperlink"/>
          </w:rPr>
          <w:t>1.1.1.13</w:t>
        </w:r>
        <w:r>
          <w:rPr>
            <w:rFonts w:ascii="Calibri" w:hAnsi="Calibri"/>
            <w:noProof/>
            <w:sz w:val="22"/>
          </w:rPr>
          <w:tab/>
        </w:r>
        <w:r>
          <w:drawing>
            <wp:inline>
              <wp:extent cx="152421" cy="152421"/>
              <wp:docPr id="100015"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5928801" name=""/>
                      <pic:cNvPicPr>
                        <a:picLocks noChangeAspect="1"/>
                      </pic:cNvPicPr>
                    </pic:nvPicPr>
                    <pic:blipFill>
                      <a:blip xmlns:r="http://schemas.openxmlformats.org/officeDocument/2006/relationships" r:embed="rId9"/>
                      <a:stretch>
                        <a:fillRect/>
                      </a:stretch>
                    </pic:blipFill>
                    <pic:spPr>
                      <a:xfrm>
                        <a:off x="0" y="0"/>
                        <a:ext cx="152421" cy="152421"/>
                      </a:xfrm>
                      <a:prstGeom prst="rect">
                        <a:avLst/>
                      </a:prstGeom>
                    </pic:spPr>
                  </pic:pic>
                </a:graphicData>
              </a:graphic>
            </wp:inline>
          </w:drawing>
        </w:r>
        <w:r>
          <w:rPr>
            <w:rStyle w:val="Hyperlink"/>
          </w:rPr>
          <w:t>Consultar inaptidão</w:t>
        </w:r>
        <w:r>
          <w:tab/>
        </w:r>
        <w:r>
          <w:fldChar w:fldCharType="begin"/>
        </w:r>
        <w:r>
          <w:instrText xml:space="preserve"> PAGEREF _Toc256000017 \h </w:instrText>
        </w:r>
        <w:r>
          <w:fldChar w:fldCharType="separate"/>
        </w:r>
        <w:r>
          <w:t>12</w:t>
        </w:r>
        <w:r>
          <w:fldChar w:fldCharType="end"/>
        </w:r>
      </w:hyperlink>
    </w:p>
    <w:p>
      <w:pPr>
        <w:pStyle w:val="TOC4"/>
        <w:tabs>
          <w:tab w:val="left" w:pos="1794"/>
          <w:tab w:val="right" w:leader="dot" w:pos="8828"/>
        </w:tabs>
        <w:rPr>
          <w:rFonts w:ascii="Calibri" w:hAnsi="Calibri"/>
          <w:noProof/>
          <w:sz w:val="22"/>
        </w:rPr>
      </w:pPr>
      <w:hyperlink w:anchor="_Toc256000018" w:history="1">
        <w:r>
          <w:rPr>
            <w:rStyle w:val="Hyperlink"/>
          </w:rPr>
          <w:t>1.1.1.14</w:t>
        </w:r>
        <w:r>
          <w:rPr>
            <w:rFonts w:ascii="Calibri" w:hAnsi="Calibri"/>
            <w:noProof/>
            <w:sz w:val="22"/>
          </w:rPr>
          <w:tab/>
        </w:r>
        <w:r>
          <w:drawing>
            <wp:inline>
              <wp:extent cx="152421" cy="152421"/>
              <wp:docPr id="100016"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1821700" name=""/>
                      <pic:cNvPicPr>
                        <a:picLocks noChangeAspect="1"/>
                      </pic:cNvPicPr>
                    </pic:nvPicPr>
                    <pic:blipFill>
                      <a:blip xmlns:r="http://schemas.openxmlformats.org/officeDocument/2006/relationships" r:embed="rId7"/>
                      <a:stretch>
                        <a:fillRect/>
                      </a:stretch>
                    </pic:blipFill>
                    <pic:spPr>
                      <a:xfrm>
                        <a:off x="0" y="0"/>
                        <a:ext cx="152421" cy="152421"/>
                      </a:xfrm>
                      <a:prstGeom prst="rect">
                        <a:avLst/>
                      </a:prstGeom>
                    </pic:spPr>
                  </pic:pic>
                </a:graphicData>
              </a:graphic>
            </wp:inline>
          </w:drawing>
        </w:r>
        <w:r>
          <w:rPr>
            <w:rStyle w:val="Hyperlink"/>
          </w:rPr>
          <w:t>4-Consultar o tipo de inaptidão</w:t>
        </w:r>
        <w:r>
          <w:tab/>
        </w:r>
        <w:r>
          <w:fldChar w:fldCharType="begin"/>
        </w:r>
        <w:r>
          <w:instrText xml:space="preserve"> PAGEREF _Toc256000018 \h </w:instrText>
        </w:r>
        <w:r>
          <w:fldChar w:fldCharType="separate"/>
        </w:r>
        <w:r>
          <w:t>12</w:t>
        </w:r>
        <w:r>
          <w:fldChar w:fldCharType="end"/>
        </w:r>
      </w:hyperlink>
    </w:p>
    <w:p>
      <w:pPr>
        <w:pStyle w:val="TOC4"/>
        <w:tabs>
          <w:tab w:val="left" w:pos="1794"/>
          <w:tab w:val="right" w:leader="dot" w:pos="8828"/>
        </w:tabs>
        <w:rPr>
          <w:rFonts w:ascii="Calibri" w:hAnsi="Calibri"/>
          <w:noProof/>
          <w:sz w:val="22"/>
        </w:rPr>
      </w:pPr>
      <w:hyperlink w:anchor="_Toc256000019" w:history="1">
        <w:r>
          <w:rPr>
            <w:rStyle w:val="Hyperlink"/>
          </w:rPr>
          <w:t>1.1.1.15</w:t>
        </w:r>
        <w:r>
          <w:rPr>
            <w:rFonts w:ascii="Calibri" w:hAnsi="Calibri"/>
            <w:noProof/>
            <w:sz w:val="22"/>
          </w:rPr>
          <w:tab/>
        </w:r>
        <w:r>
          <w:drawing>
            <wp:inline>
              <wp:extent cx="152421" cy="152421"/>
              <wp:docPr id="100017"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1561118" name=""/>
                      <pic:cNvPicPr>
                        <a:picLocks noChangeAspect="1"/>
                      </pic:cNvPicPr>
                    </pic:nvPicPr>
                    <pic:blipFill>
                      <a:blip xmlns:r="http://schemas.openxmlformats.org/officeDocument/2006/relationships" r:embed="rId7"/>
                      <a:stretch>
                        <a:fillRect/>
                      </a:stretch>
                    </pic:blipFill>
                    <pic:spPr>
                      <a:xfrm>
                        <a:off x="0" y="0"/>
                        <a:ext cx="152421" cy="152421"/>
                      </a:xfrm>
                      <a:prstGeom prst="rect">
                        <a:avLst/>
                      </a:prstGeom>
                    </pic:spPr>
                  </pic:pic>
                </a:graphicData>
              </a:graphic>
            </wp:inline>
          </w:drawing>
        </w:r>
        <w:r>
          <w:rPr>
            <w:rStyle w:val="Hyperlink"/>
          </w:rPr>
          <w:t>5- Realizar consulta</w:t>
        </w:r>
        <w:r>
          <w:tab/>
        </w:r>
        <w:r>
          <w:fldChar w:fldCharType="begin"/>
        </w:r>
        <w:r>
          <w:instrText xml:space="preserve"> PAGEREF _Toc256000019 \h </w:instrText>
        </w:r>
        <w:r>
          <w:fldChar w:fldCharType="separate"/>
        </w:r>
        <w:r>
          <w:t>13</w:t>
        </w:r>
        <w:r>
          <w:fldChar w:fldCharType="end"/>
        </w:r>
      </w:hyperlink>
    </w:p>
    <w:p>
      <w:pPr>
        <w:pStyle w:val="TOC4"/>
        <w:tabs>
          <w:tab w:val="left" w:pos="1794"/>
          <w:tab w:val="right" w:leader="dot" w:pos="8828"/>
        </w:tabs>
        <w:rPr>
          <w:rFonts w:ascii="Calibri" w:hAnsi="Calibri"/>
          <w:noProof/>
          <w:sz w:val="22"/>
        </w:rPr>
      </w:pPr>
      <w:hyperlink w:anchor="_Toc256000020" w:history="1">
        <w:r>
          <w:rPr>
            <w:rStyle w:val="Hyperlink"/>
          </w:rPr>
          <w:t>1.1.1.16</w:t>
        </w:r>
        <w:r>
          <w:rPr>
            <w:rFonts w:ascii="Calibri" w:hAnsi="Calibri"/>
            <w:noProof/>
            <w:sz w:val="22"/>
          </w:rPr>
          <w:tab/>
        </w:r>
        <w:r>
          <w:drawing>
            <wp:inline>
              <wp:extent cx="152421" cy="152421"/>
              <wp:docPr id="100018"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2691796" name=""/>
                      <pic:cNvPicPr>
                        <a:picLocks noChangeAspect="1"/>
                      </pic:cNvPicPr>
                    </pic:nvPicPr>
                    <pic:blipFill>
                      <a:blip xmlns:r="http://schemas.openxmlformats.org/officeDocument/2006/relationships" r:embed="rId9"/>
                      <a:stretch>
                        <a:fillRect/>
                      </a:stretch>
                    </pic:blipFill>
                    <pic:spPr>
                      <a:xfrm>
                        <a:off x="0" y="0"/>
                        <a:ext cx="152421" cy="152421"/>
                      </a:xfrm>
                      <a:prstGeom prst="rect">
                        <a:avLst/>
                      </a:prstGeom>
                    </pic:spPr>
                  </pic:pic>
                </a:graphicData>
              </a:graphic>
            </wp:inline>
          </w:drawing>
        </w:r>
        <w:r>
          <w:rPr>
            <w:rStyle w:val="Hyperlink"/>
          </w:rPr>
          <w:t>Orientação</w:t>
        </w:r>
        <w:r>
          <w:tab/>
        </w:r>
        <w:r>
          <w:fldChar w:fldCharType="begin"/>
        </w:r>
        <w:r>
          <w:instrText xml:space="preserve"> PAGEREF _Toc256000020 \h </w:instrText>
        </w:r>
        <w:r>
          <w:fldChar w:fldCharType="separate"/>
        </w:r>
        <w:r>
          <w:t>14</w:t>
        </w:r>
        <w:r>
          <w:fldChar w:fldCharType="end"/>
        </w:r>
      </w:hyperlink>
    </w:p>
    <w:p>
      <w:pPr>
        <w:pStyle w:val="TOC4"/>
        <w:tabs>
          <w:tab w:val="left" w:pos="1794"/>
          <w:tab w:val="right" w:leader="dot" w:pos="8828"/>
        </w:tabs>
        <w:rPr>
          <w:rFonts w:ascii="Calibri" w:hAnsi="Calibri"/>
          <w:noProof/>
          <w:sz w:val="22"/>
        </w:rPr>
      </w:pPr>
      <w:hyperlink w:anchor="_Toc256000021" w:history="1">
        <w:r>
          <w:rPr>
            <w:rStyle w:val="Hyperlink"/>
          </w:rPr>
          <w:t>1.1.1.17</w:t>
        </w:r>
        <w:r>
          <w:rPr>
            <w:rFonts w:ascii="Calibri" w:hAnsi="Calibri"/>
            <w:noProof/>
            <w:sz w:val="22"/>
          </w:rPr>
          <w:tab/>
        </w:r>
        <w:r>
          <w:drawing>
            <wp:inline>
              <wp:extent cx="152421" cy="152421"/>
              <wp:docPr id="100019"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5966775" name=""/>
                      <pic:cNvPicPr>
                        <a:picLocks noChangeAspect="1"/>
                      </pic:cNvPicPr>
                    </pic:nvPicPr>
                    <pic:blipFill>
                      <a:blip xmlns:r="http://schemas.openxmlformats.org/officeDocument/2006/relationships" r:embed="rId7"/>
                      <a:stretch>
                        <a:fillRect/>
                      </a:stretch>
                    </pic:blipFill>
                    <pic:spPr>
                      <a:xfrm>
                        <a:off x="0" y="0"/>
                        <a:ext cx="152421" cy="152421"/>
                      </a:xfrm>
                      <a:prstGeom prst="rect">
                        <a:avLst/>
                      </a:prstGeom>
                    </pic:spPr>
                  </pic:pic>
                </a:graphicData>
              </a:graphic>
            </wp:inline>
          </w:drawing>
        </w:r>
        <w:r>
          <w:rPr>
            <w:rStyle w:val="Hyperlink"/>
          </w:rPr>
          <w:t>4- Realizar orientação ao doador</w:t>
        </w:r>
        <w:r>
          <w:tab/>
        </w:r>
        <w:r>
          <w:fldChar w:fldCharType="begin"/>
        </w:r>
        <w:r>
          <w:instrText xml:space="preserve"> PAGEREF _Toc256000021 \h </w:instrText>
        </w:r>
        <w:r>
          <w:fldChar w:fldCharType="separate"/>
        </w:r>
        <w:r>
          <w:t>14</w:t>
        </w:r>
        <w:r>
          <w:fldChar w:fldCharType="end"/>
        </w:r>
      </w:hyperlink>
    </w:p>
    <w:p w:rsidR="00AE3ACF" w:rsidRPr="008D2D31" w:rsidP="00854218">
      <w:pPr>
        <w:jc w:val="center"/>
        <w:sectPr w:rsidSect="00503EE8">
          <w:pgSz w:w="12240" w:h="15840" w:code="1"/>
          <w:pgMar w:top="1616" w:right="1701" w:bottom="1418" w:left="1701" w:header="709" w:footer="255" w:gutter="0"/>
          <w:cols w:space="708"/>
          <w:docGrid w:linePitch="360"/>
        </w:sectPr>
      </w:pPr>
      <w:r w:rsidRPr="008D2D31">
        <w:fldChar w:fldCharType="end"/>
      </w:r>
    </w:p>
    <w:p>
      <w:pPr>
        <w:pStyle w:val="bizHeading1"/>
      </w:pPr>
      <w:bookmarkStart w:id="2" w:name="Id_534d294267604ea1a2ef258301ef170e"/>
      <w:bookmarkStart w:id="3" w:name="_Toc256000002"/>
      <w:r>
        <w:t>TO BE - Triagem Clínica</w:t>
      </w:r>
      <w:bookmarkEnd w:id="3"/>
    </w:p>
    <w:p>
      <w:pPr>
        <w:jc w:val="center"/>
      </w:pPr>
      <w:bookmarkEnd w:id="2"/>
      <w:r>
        <w:drawing>
          <wp:inline>
            <wp:extent cx="7033464" cy="5845810"/>
            <wp:docPr id="100002"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1607855" name=""/>
                    <pic:cNvPicPr>
                      <a:picLocks noChangeAspect="1"/>
                    </pic:cNvPicPr>
                  </pic:nvPicPr>
                  <pic:blipFill>
                    <a:blip xmlns:r="http://schemas.openxmlformats.org/officeDocument/2006/relationships" r:embed="rId11"/>
                    <a:stretch>
                      <a:fillRect/>
                    </a:stretch>
                  </pic:blipFill>
                  <pic:spPr>
                    <a:xfrm>
                      <a:off x="0" y="0"/>
                      <a:ext cx="7033464" cy="5845810"/>
                    </a:xfrm>
                    <a:prstGeom prst="rect">
                      <a:avLst/>
                    </a:prstGeom>
                  </pic:spPr>
                </pic:pic>
              </a:graphicData>
            </a:graphic>
          </wp:inline>
        </w:drawing>
      </w:r>
    </w:p>
    <w:p>
      <w:pPr>
        <w:sectPr>
          <w:pgSz w:w="15840" w:h="12240" w:orient="landscape"/>
          <w:pgMar w:top="1616" w:right="1701" w:bottom="1418" w:left="1701" w:header="708" w:footer="708"/>
          <w:cols w:space="708"/>
        </w:sectPr>
      </w:pPr>
    </w:p>
    <w:p>
      <w:pPr>
        <w:pStyle w:val="BoldModelerNormal"/>
      </w:pPr>
      <w:r>
        <w:t>Descrição</w:t>
      </w:r>
    </w:p>
    <w:p>
      <w:pPr>
        <w:pStyle w:val="ModelerNormal"/>
        <w:spacing w:afterAutospacing="1"/>
      </w:pPr>
      <w:r>
        <w:t>Esse processo tem como escopo o Redesenho do Macroprocesso de Gestão Recepção Doadores - Triagem Clínica, desde o encaminhamento do candidato a doação para a triagem clínica até o candidato enviado para coleta e/ou consultório médico.</w:t>
      </w:r>
    </w:p>
    <w:p>
      <w:pPr>
        <w:pStyle w:val="BoldModelerNormal"/>
      </w:pPr>
      <w:r>
        <w:t>SUPERINTENDÊNCIA ESTADUAL DE TECNOLOGIA DA INFORMAÇÃO E COMUNICAÇÃO</w:t>
      </w:r>
    </w:p>
    <w:p>
      <w:pPr>
        <w:pStyle w:val="ModelerNormal"/>
        <w:spacing w:afterAutospacing="1"/>
      </w:pPr>
      <w:bookmarkStart w:id="4" w:name="_dx_frag_StartFragment"/>
      <w:bookmarkEnd w:id="4"/>
      <w:r>
        <w:t>Delner Freire</w:t>
      </w:r>
      <w:r>
        <w:br/>
      </w:r>
      <w:r>
        <w:t>Superintendente</w:t>
      </w:r>
      <w:r>
        <w:br/>
      </w:r>
      <w:r>
        <w:br/>
      </w:r>
      <w:r>
        <w:t>Maico Moreira</w:t>
      </w:r>
      <w:r>
        <w:br/>
      </w:r>
      <w:r>
        <w:t>Diretor Técnico</w:t>
      </w:r>
      <w:r>
        <w:br/>
      </w:r>
      <w:r>
        <w:br/>
      </w:r>
      <w:r>
        <w:t>David Lucas da Silva Ferreira</w:t>
      </w:r>
      <w:r>
        <w:br/>
      </w:r>
      <w:r>
        <w:t>Coordenador de Gestão Estratégica</w:t>
      </w:r>
      <w:bookmarkStart w:id="5" w:name="_dx_frag_EndFragment"/>
      <w:bookmarkEnd w:id="5"/>
    </w:p>
    <w:p>
      <w:pPr>
        <w:pStyle w:val="BoldModelerNormal"/>
      </w:pPr>
      <w:r>
        <w:t>ELABORAÇÃO</w:t>
      </w:r>
    </w:p>
    <w:p>
      <w:pPr>
        <w:pStyle w:val="ModelerNormal"/>
        <w:spacing w:afterAutospacing="1"/>
      </w:pPr>
      <w:r>
        <w:t>Luma Damon - Analista de Processo</w:t>
      </w:r>
      <w:r>
        <w:t>s</w:t>
      </w:r>
      <w:r>
        <w:br/>
      </w:r>
      <w:r>
        <w:t>Ádila Pires - Analista de Processos</w:t>
      </w:r>
    </w:p>
    <w:p>
      <w:pPr>
        <w:pStyle w:val="BoldModelerNormal"/>
      </w:pPr>
      <w:r>
        <w:t>COLABORAÇÃO</w:t>
      </w:r>
    </w:p>
    <w:p>
      <w:pPr>
        <w:pStyle w:val="ModelerNormal"/>
        <w:spacing w:afterAutospacing="1"/>
      </w:pPr>
      <w:r>
        <w:t>Maria Irenir de Sousa - Gerente do setor de Enfermagem da FHEMERON</w:t>
      </w:r>
    </w:p>
    <w:p>
      <w:pPr>
        <w:pStyle w:val="BoldModelerNormal"/>
      </w:pPr>
      <w:r>
        <w:t>REVISORES</w:t>
      </w:r>
    </w:p>
    <w:p>
      <w:pPr>
        <w:pStyle w:val="ModelerNormal"/>
        <w:spacing w:afterAutospacing="1"/>
      </w:pPr>
      <w:r>
        <w:t>Henrique Douglas - Product Owner</w:t>
      </w:r>
      <w:r>
        <w:br/>
      </w:r>
      <w:r>
        <w:t>Maria Irenir - Dono do Processo</w:t>
      </w:r>
      <w:r>
        <w:br/>
      </w:r>
      <w:r>
        <w:t>Maria Luíza - Dona do Produt</w:t>
      </w:r>
      <w:r>
        <w:t>o </w:t>
      </w:r>
    </w:p>
    <w:p>
      <w:pPr>
        <w:pStyle w:val="BoldModelerNormal"/>
      </w:pPr>
      <w:r>
        <w:t>VERSIONAMENTO</w:t>
      </w:r>
    </w:p>
    <w:tbl>
      <w:tblPr>
        <w:tblW w:w="5000" w:type="pct"/>
        <w:tblCellSpacing w:w="0" w:type="dxa"/>
        <w:tblInd w:w="16" w:type="dxa"/>
        <w:tblBorders>
          <w:top w:val="outset" w:sz="6" w:space="0" w:color="808080"/>
          <w:left w:val="outset" w:sz="6" w:space="0" w:color="808080"/>
          <w:bottom w:val="outset" w:sz="6" w:space="0" w:color="808080"/>
          <w:right w:val="outset" w:sz="6" w:space="0" w:color="808080"/>
        </w:tblBorders>
        <w:tblCellMar>
          <w:top w:w="0" w:type="dxa"/>
          <w:left w:w="0" w:type="dxa"/>
          <w:bottom w:w="0" w:type="dxa"/>
          <w:right w:w="0" w:type="dxa"/>
        </w:tblCellMar>
      </w:tblPr>
      <w:tblGrid>
        <w:gridCol w:w="780"/>
        <w:gridCol w:w="1277"/>
        <w:gridCol w:w="2759"/>
        <w:gridCol w:w="3977"/>
      </w:tblGrid>
      <w:tr>
        <w:tblPrEx>
          <w:tblW w:w="5000" w:type="pct"/>
          <w:tblCellSpacing w:w="0" w:type="dxa"/>
          <w:tblInd w:w="16" w:type="dxa"/>
          <w:tblBorders>
            <w:top w:val="outset" w:sz="6" w:space="0" w:color="808080"/>
            <w:left w:val="outset" w:sz="6" w:space="0" w:color="808080"/>
            <w:bottom w:val="outset" w:sz="6" w:space="0" w:color="808080"/>
            <w:right w:val="outset" w:sz="6" w:space="0" w:color="808080"/>
          </w:tblBorders>
          <w:tblCellMar>
            <w:top w:w="0" w:type="dxa"/>
            <w:left w:w="0" w:type="dxa"/>
            <w:bottom w:w="0" w:type="dxa"/>
            <w:right w:w="0" w:type="dxa"/>
          </w:tblCellMar>
        </w:tblPrEx>
        <w:trPr>
          <w:tblCellSpacing w:w="0" w:type="dxa"/>
        </w:trPr>
        <w:tc>
          <w:tcPr>
            <w:tcBorders>
              <w:top w:val="inset" w:sz="6" w:space="0" w:color="808080"/>
              <w:left w:val="inset" w:sz="6" w:space="0" w:color="808080"/>
              <w:bottom w:val="inset" w:sz="6" w:space="0" w:color="808080"/>
              <w:right w:val="inset" w:sz="6" w:space="0" w:color="808080"/>
            </w:tcBorders>
            <w:noWrap w:val="0"/>
            <w:tcMar>
              <w:top w:w="8" w:type="dxa"/>
              <w:left w:w="8" w:type="dxa"/>
              <w:bottom w:w="8" w:type="dxa"/>
              <w:right w:w="8" w:type="dxa"/>
            </w:tcMar>
            <w:vAlign w:val="top"/>
            <w:hideMark/>
          </w:tcPr>
          <w:p>
            <w:pPr>
              <w:pStyle w:val="ModelerNormal"/>
              <w:spacing w:afterAutospacing="1"/>
            </w:pPr>
            <w:r>
              <w:t>Versão</w:t>
            </w:r>
          </w:p>
        </w:tc>
        <w:tc>
          <w:tcPr>
            <w:tcBorders>
              <w:top w:val="inset" w:sz="6" w:space="0" w:color="808080"/>
              <w:left w:val="inset" w:sz="6" w:space="0" w:color="808080"/>
              <w:bottom w:val="inset" w:sz="6" w:space="0" w:color="808080"/>
              <w:right w:val="inset" w:sz="6" w:space="0" w:color="808080"/>
            </w:tcBorders>
            <w:noWrap w:val="0"/>
            <w:tcMar>
              <w:top w:w="8" w:type="dxa"/>
              <w:left w:w="8" w:type="dxa"/>
              <w:bottom w:w="8" w:type="dxa"/>
              <w:right w:w="8" w:type="dxa"/>
            </w:tcMar>
            <w:vAlign w:val="top"/>
            <w:hideMark/>
          </w:tcPr>
          <w:p>
            <w:pPr>
              <w:pStyle w:val="ModelerNormal"/>
              <w:spacing w:afterAutospacing="1"/>
            </w:pPr>
            <w:r>
              <w:t>Data</w:t>
            </w:r>
          </w:p>
        </w:tc>
        <w:tc>
          <w:tcPr>
            <w:tcBorders>
              <w:top w:val="inset" w:sz="6" w:space="0" w:color="808080"/>
              <w:left w:val="inset" w:sz="6" w:space="0" w:color="808080"/>
              <w:bottom w:val="inset" w:sz="6" w:space="0" w:color="808080"/>
              <w:right w:val="inset" w:sz="6" w:space="0" w:color="808080"/>
            </w:tcBorders>
            <w:noWrap w:val="0"/>
            <w:tcMar>
              <w:top w:w="8" w:type="dxa"/>
              <w:left w:w="8" w:type="dxa"/>
              <w:bottom w:w="8" w:type="dxa"/>
              <w:right w:w="8" w:type="dxa"/>
            </w:tcMar>
            <w:vAlign w:val="top"/>
            <w:hideMark/>
          </w:tcPr>
          <w:p>
            <w:pPr>
              <w:pStyle w:val="ModelerNormal"/>
              <w:spacing w:afterAutospacing="1"/>
            </w:pPr>
            <w:r>
              <w:t>Responsável</w:t>
            </w:r>
          </w:p>
        </w:tc>
        <w:tc>
          <w:tcPr>
            <w:tcBorders>
              <w:top w:val="inset" w:sz="6" w:space="0" w:color="808080"/>
              <w:left w:val="inset" w:sz="6" w:space="0" w:color="808080"/>
              <w:bottom w:val="inset" w:sz="6" w:space="0" w:color="808080"/>
              <w:right w:val="inset" w:sz="6" w:space="0" w:color="808080"/>
            </w:tcBorders>
            <w:noWrap w:val="0"/>
            <w:tcMar>
              <w:top w:w="8" w:type="dxa"/>
              <w:left w:w="8" w:type="dxa"/>
              <w:bottom w:w="8" w:type="dxa"/>
              <w:right w:w="8" w:type="dxa"/>
            </w:tcMar>
            <w:vAlign w:val="top"/>
            <w:hideMark/>
          </w:tcPr>
          <w:p>
            <w:pPr>
              <w:pStyle w:val="ModelerNormal"/>
              <w:spacing w:afterAutospacing="1"/>
            </w:pPr>
            <w:r>
              <w:t>Ação</w:t>
            </w:r>
          </w:p>
        </w:tc>
      </w:tr>
      <w:tr>
        <w:tblPrEx>
          <w:tblW w:w="5000" w:type="pct"/>
          <w:tblCellSpacing w:w="0" w:type="dxa"/>
          <w:tblInd w:w="16" w:type="dxa"/>
          <w:tblCellMar>
            <w:top w:w="0" w:type="dxa"/>
            <w:left w:w="0" w:type="dxa"/>
            <w:bottom w:w="0" w:type="dxa"/>
            <w:right w:w="0" w:type="dxa"/>
          </w:tblCellMar>
        </w:tblPrEx>
        <w:trPr>
          <w:tblCellSpacing w:w="0" w:type="dxa"/>
        </w:trPr>
        <w:tc>
          <w:tcPr>
            <w:tcBorders>
              <w:top w:val="inset" w:sz="6" w:space="0" w:color="808080"/>
              <w:left w:val="inset" w:sz="6" w:space="0" w:color="808080"/>
              <w:bottom w:val="inset" w:sz="6" w:space="0" w:color="808080"/>
              <w:right w:val="inset" w:sz="6" w:space="0" w:color="808080"/>
            </w:tcBorders>
            <w:noWrap w:val="0"/>
            <w:tcMar>
              <w:top w:w="8" w:type="dxa"/>
              <w:left w:w="8" w:type="dxa"/>
              <w:bottom w:w="8" w:type="dxa"/>
              <w:right w:w="8" w:type="dxa"/>
            </w:tcMar>
            <w:vAlign w:val="top"/>
            <w:hideMark/>
          </w:tcPr>
          <w:p>
            <w:pPr>
              <w:pStyle w:val="ModelerNormal"/>
              <w:spacing w:afterAutospacing="1"/>
            </w:pPr>
            <w:r>
              <w:t>1.0</w:t>
            </w:r>
          </w:p>
        </w:tc>
        <w:tc>
          <w:tcPr>
            <w:tcBorders>
              <w:top w:val="inset" w:sz="6" w:space="0" w:color="808080"/>
              <w:left w:val="inset" w:sz="6" w:space="0" w:color="808080"/>
              <w:bottom w:val="inset" w:sz="6" w:space="0" w:color="808080"/>
              <w:right w:val="inset" w:sz="6" w:space="0" w:color="808080"/>
            </w:tcBorders>
            <w:noWrap w:val="0"/>
            <w:tcMar>
              <w:top w:w="8" w:type="dxa"/>
              <w:left w:w="8" w:type="dxa"/>
              <w:bottom w:w="8" w:type="dxa"/>
              <w:right w:w="8" w:type="dxa"/>
            </w:tcMar>
            <w:vAlign w:val="top"/>
            <w:hideMark/>
          </w:tcPr>
          <w:p>
            <w:pPr>
              <w:pStyle w:val="ModelerNormal"/>
              <w:spacing w:afterAutospacing="1"/>
            </w:pPr>
            <w:r>
              <w:t>2021</w:t>
            </w:r>
          </w:p>
        </w:tc>
        <w:tc>
          <w:tcPr>
            <w:tcBorders>
              <w:top w:val="inset" w:sz="6" w:space="0" w:color="808080"/>
              <w:left w:val="inset" w:sz="6" w:space="0" w:color="808080"/>
              <w:bottom w:val="inset" w:sz="6" w:space="0" w:color="808080"/>
              <w:right w:val="inset" w:sz="6" w:space="0" w:color="808080"/>
            </w:tcBorders>
            <w:noWrap w:val="0"/>
            <w:tcMar>
              <w:top w:w="8" w:type="dxa"/>
              <w:left w:w="8" w:type="dxa"/>
              <w:bottom w:w="8" w:type="dxa"/>
              <w:right w:w="8" w:type="dxa"/>
            </w:tcMar>
            <w:vAlign w:val="top"/>
            <w:hideMark/>
          </w:tcPr>
          <w:p>
            <w:pPr>
              <w:pStyle w:val="ModelerNormal"/>
              <w:spacing w:afterAutospacing="1"/>
            </w:pPr>
            <w:r>
              <w:t>Luma Damon</w:t>
            </w:r>
            <w:r>
              <w:br/>
            </w:r>
            <w:r>
              <w:t>Ádila Pires</w:t>
            </w:r>
          </w:p>
        </w:tc>
        <w:tc>
          <w:tcPr>
            <w:tcBorders>
              <w:top w:val="inset" w:sz="6" w:space="0" w:color="808080"/>
              <w:left w:val="inset" w:sz="6" w:space="0" w:color="808080"/>
              <w:bottom w:val="inset" w:sz="6" w:space="0" w:color="808080"/>
              <w:right w:val="inset" w:sz="6" w:space="0" w:color="808080"/>
            </w:tcBorders>
            <w:noWrap w:val="0"/>
            <w:tcMar>
              <w:top w:w="8" w:type="dxa"/>
              <w:left w:w="8" w:type="dxa"/>
              <w:bottom w:w="8" w:type="dxa"/>
              <w:right w:w="8" w:type="dxa"/>
            </w:tcMar>
            <w:vAlign w:val="top"/>
            <w:hideMark/>
          </w:tcPr>
          <w:p>
            <w:pPr>
              <w:pStyle w:val="ModelerNormal"/>
              <w:spacing w:afterAutospacing="1"/>
            </w:pPr>
            <w:r>
              <w:t>Modelagem do Processo de Negócio</w:t>
            </w:r>
          </w:p>
        </w:tc>
      </w:tr>
      <w:tr>
        <w:tblPrEx>
          <w:tblW w:w="5000" w:type="pct"/>
          <w:tblCellSpacing w:w="0" w:type="dxa"/>
          <w:tblInd w:w="16" w:type="dxa"/>
          <w:tblCellMar>
            <w:top w:w="0" w:type="dxa"/>
            <w:left w:w="0" w:type="dxa"/>
            <w:bottom w:w="0" w:type="dxa"/>
            <w:right w:w="0" w:type="dxa"/>
          </w:tblCellMar>
        </w:tblPrEx>
        <w:trPr>
          <w:tblCellSpacing w:w="0" w:type="dxa"/>
        </w:trPr>
        <w:tc>
          <w:tcPr>
            <w:tcBorders>
              <w:top w:val="inset" w:sz="6" w:space="0" w:color="808080"/>
              <w:left w:val="inset" w:sz="6" w:space="0" w:color="808080"/>
              <w:bottom w:val="inset" w:sz="6" w:space="0" w:color="808080"/>
              <w:right w:val="inset" w:sz="6" w:space="0" w:color="808080"/>
            </w:tcBorders>
            <w:noWrap w:val="0"/>
            <w:tcMar>
              <w:top w:w="8" w:type="dxa"/>
              <w:left w:w="8" w:type="dxa"/>
              <w:bottom w:w="8" w:type="dxa"/>
              <w:right w:w="8" w:type="dxa"/>
            </w:tcMar>
            <w:vAlign w:val="top"/>
            <w:hideMark/>
          </w:tcPr>
          <w:p>
            <w:pPr>
              <w:pStyle w:val="ModelerNormal"/>
              <w:spacing w:afterAutospacing="1"/>
            </w:pPr>
            <w:r>
              <w:t>1.1</w:t>
            </w:r>
          </w:p>
        </w:tc>
        <w:tc>
          <w:tcPr>
            <w:tcBorders>
              <w:top w:val="inset" w:sz="6" w:space="0" w:color="808080"/>
              <w:left w:val="inset" w:sz="6" w:space="0" w:color="808080"/>
              <w:bottom w:val="inset" w:sz="6" w:space="0" w:color="808080"/>
              <w:right w:val="inset" w:sz="6" w:space="0" w:color="808080"/>
            </w:tcBorders>
            <w:noWrap w:val="0"/>
            <w:tcMar>
              <w:top w:w="8" w:type="dxa"/>
              <w:left w:w="8" w:type="dxa"/>
              <w:bottom w:w="8" w:type="dxa"/>
              <w:right w:w="8" w:type="dxa"/>
            </w:tcMar>
            <w:vAlign w:val="top"/>
            <w:hideMark/>
          </w:tcPr>
          <w:p>
            <w:pPr>
              <w:pStyle w:val="ModelerNormal"/>
              <w:spacing w:afterAutospacing="1"/>
            </w:pPr>
            <w:r>
              <w:t>06/06/2023</w:t>
            </w:r>
          </w:p>
        </w:tc>
        <w:tc>
          <w:tcPr>
            <w:tcBorders>
              <w:top w:val="inset" w:sz="6" w:space="0" w:color="808080"/>
              <w:left w:val="inset" w:sz="6" w:space="0" w:color="808080"/>
              <w:bottom w:val="inset" w:sz="6" w:space="0" w:color="808080"/>
              <w:right w:val="inset" w:sz="6" w:space="0" w:color="808080"/>
            </w:tcBorders>
            <w:noWrap w:val="0"/>
            <w:tcMar>
              <w:top w:w="8" w:type="dxa"/>
              <w:left w:w="8" w:type="dxa"/>
              <w:bottom w:w="8" w:type="dxa"/>
              <w:right w:w="8" w:type="dxa"/>
            </w:tcMar>
            <w:vAlign w:val="top"/>
            <w:hideMark/>
          </w:tcPr>
          <w:p>
            <w:pPr>
              <w:pStyle w:val="ModelerNormal"/>
              <w:spacing w:afterAutospacing="1"/>
            </w:pPr>
            <w:r>
              <w:t>Luma Damon</w:t>
            </w:r>
            <w:r>
              <w:br/>
            </w:r>
            <w:r>
              <w:t>Thaís Roca</w:t>
            </w:r>
          </w:p>
        </w:tc>
        <w:tc>
          <w:tcPr>
            <w:tcBorders>
              <w:top w:val="inset" w:sz="6" w:space="0" w:color="808080"/>
              <w:left w:val="inset" w:sz="6" w:space="0" w:color="808080"/>
              <w:bottom w:val="inset" w:sz="6" w:space="0" w:color="808080"/>
              <w:right w:val="inset" w:sz="6" w:space="0" w:color="808080"/>
            </w:tcBorders>
            <w:noWrap w:val="0"/>
            <w:tcMar>
              <w:top w:w="8" w:type="dxa"/>
              <w:left w:w="8" w:type="dxa"/>
              <w:bottom w:w="8" w:type="dxa"/>
              <w:right w:w="8" w:type="dxa"/>
            </w:tcMar>
            <w:vAlign w:val="top"/>
            <w:hideMark/>
          </w:tcPr>
          <w:p>
            <w:pPr>
              <w:pStyle w:val="ModelerNormal"/>
              <w:spacing w:afterAutospacing="1"/>
            </w:pPr>
            <w:r>
              <w:t>Atualização do Padrão Textual</w:t>
            </w:r>
          </w:p>
        </w:tc>
      </w:tr>
    </w:tbl>
    <w:p>
      <w:pPr>
        <w:pStyle w:val="ModelerNormal"/>
        <w:spacing w:afterAutospacing="1"/>
      </w:pPr>
      <w:r>
        <w:t> </w:t>
      </w:r>
    </w:p>
    <w:p>
      <w:pPr>
        <w:pStyle w:val="ModelerNormal"/>
        <w:spacing w:afterAutospacing="1"/>
      </w:pPr>
      <w:r>
        <w:t> </w:t>
      </w:r>
    </w:p>
    <w:p>
      <w:pPr>
        <w:pStyle w:val="BoldModelerNormal"/>
      </w:pPr>
      <w:r>
        <w:t xml:space="preserve">Versão: </w:t>
      </w:r>
    </w:p>
    <w:p>
      <w:pPr>
        <w:pStyle w:val="ModelerNormal"/>
      </w:pPr>
      <w:r>
        <w:t>1.1</w:t>
      </w:r>
    </w:p>
    <w:p>
      <w:pPr>
        <w:pStyle w:val="BoldModelerNormal"/>
      </w:pPr>
      <w:r>
        <w:t xml:space="preserve">Autor: </w:t>
      </w:r>
    </w:p>
    <w:p>
      <w:pPr>
        <w:pStyle w:val="ModelerNormal"/>
      </w:pPr>
      <w:r>
        <w:t>Governo de Rondônia | Superintendência Estadual de Tecnologia da Informação e Comunicação</w:t>
      </w:r>
    </w:p>
    <w:p>
      <w:pPr>
        <w:pStyle w:val="bizHeading2"/>
      </w:pPr>
      <w:bookmarkStart w:id="6" w:name="Id_ebba950a657343f7b4ce9262b3176927"/>
      <w:bookmarkStart w:id="7" w:name="_Toc256000003"/>
      <w:r>
        <w:t>GESTÃO DE RECEPÇÃO DE DOADORES - Triagem Clínica</w:t>
      </w:r>
      <w:bookmarkEnd w:id="7"/>
    </w:p>
    <w:p>
      <w:pPr>
        <w:pStyle w:val="bizHeading3"/>
      </w:pPr>
      <w:bookmarkEnd w:id="6"/>
      <w:bookmarkStart w:id="8" w:name="_Toc256000004"/>
      <w:r>
        <w:t>Elementos do processo</w:t>
      </w:r>
      <w:bookmarkEnd w:id="8"/>
    </w:p>
    <w:p>
      <w:pPr>
        <w:pStyle w:val="bizHeading4"/>
      </w:pPr>
      <w:bookmarkStart w:id="9" w:name="_Toc256000005"/>
      <w:r>
        <w:drawing>
          <wp:inline>
            <wp:extent cx="152421" cy="152421"/>
            <wp:docPr id="1603246090"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2560505" name=""/>
                    <pic:cNvPicPr>
                      <a:picLocks noChangeAspect="1"/>
                    </pic:cNvPicPr>
                  </pic:nvPicPr>
                  <pic:blipFill>
                    <a:blip xmlns:r="http://schemas.openxmlformats.org/officeDocument/2006/relationships" r:embed="rId7"/>
                    <a:stretch>
                      <a:fillRect/>
                    </a:stretch>
                  </pic:blipFill>
                  <pic:spPr>
                    <a:xfrm>
                      <a:off x="0" y="0"/>
                      <a:ext cx="152421" cy="152421"/>
                    </a:xfrm>
                    <a:prstGeom prst="rect">
                      <a:avLst/>
                    </a:prstGeom>
                  </pic:spPr>
                </pic:pic>
              </a:graphicData>
            </a:graphic>
          </wp:inline>
        </w:drawing>
      </w:r>
      <w:r>
        <w:t>1- Conferir lista de espera</w:t>
      </w:r>
      <w:bookmarkEnd w:id="9"/>
    </w:p>
    <w:p/>
    <w:p>
      <w:pPr>
        <w:pStyle w:val="BoldModelerNormal"/>
      </w:pPr>
      <w:r>
        <w:t>Descrição</w:t>
      </w:r>
    </w:p>
    <w:p>
      <w:pPr>
        <w:pStyle w:val="ModelerNormal"/>
        <w:spacing w:afterAutospacing="1"/>
      </w:pPr>
      <w:r>
        <w:t xml:space="preserve">Onde: </w:t>
      </w:r>
      <w:r>
        <w:t>Sistema</w:t>
      </w:r>
      <w:r>
        <w:t xml:space="preserve"> </w:t>
      </w:r>
      <w:r>
        <w:t>SIHRO</w:t>
      </w:r>
      <w:r>
        <w:br/>
      </w:r>
      <w:r>
        <w:br/>
      </w:r>
      <w:r>
        <w:t>O que:</w:t>
      </w:r>
      <w:r>
        <w:t xml:space="preserve"> Conferir as informações do doador</w:t>
      </w:r>
      <w:r>
        <w:br/>
      </w:r>
      <w:r>
        <w:br/>
      </w:r>
      <w:r>
        <w:t xml:space="preserve">Quando: </w:t>
      </w:r>
      <w:r>
        <w:t>Após a conclusão da pré-triagem</w:t>
      </w:r>
      <w:r>
        <w:br/>
      </w:r>
      <w:r>
        <w:br/>
      </w:r>
      <w:r>
        <w:t>Como:</w:t>
      </w:r>
      <w:r>
        <w:br/>
      </w:r>
      <w:r>
        <w:t>Tarefa 1:  </w:t>
      </w:r>
      <w:r>
        <w:t>Acessar o sistema SIHRO</w:t>
      </w:r>
      <w:r>
        <w:br/>
      </w:r>
      <w:r>
        <w:t xml:space="preserve">Tarefa 2: </w:t>
      </w:r>
      <w:r>
        <w:t>Conferir a lista de espera, selecionar o doador e confirmar;</w:t>
      </w:r>
      <w:r>
        <w:br/>
      </w:r>
      <w:r>
        <w:t xml:space="preserve">Tarefa 3: </w:t>
      </w:r>
      <w:r>
        <w:t>Convocar o doador e solicitar documento com foto.</w:t>
      </w:r>
      <w:r>
        <w:br/>
      </w:r>
      <w:r>
        <w:t xml:space="preserve">Observação: </w:t>
      </w:r>
      <w:r>
        <w:br/>
      </w:r>
      <w:r>
        <w:t xml:space="preserve">1 - </w:t>
      </w:r>
      <w:r>
        <w:t>Verificar possibilidade dessa informação aparecer no monitor da sala de espera.</w:t>
      </w:r>
      <w:r>
        <w:br/>
      </w:r>
      <w:r>
        <w:t xml:space="preserve">Tarefa 4: </w:t>
      </w:r>
      <w:r>
        <w:t>Conferir as informações da pré-triagem (sinais vitais, exame de hematócrito (anemia), peso e altura);</w:t>
      </w:r>
      <w:r>
        <w:br/>
      </w:r>
      <w:r>
        <w:t xml:space="preserve">Tarefa 5: </w:t>
      </w:r>
      <w:r>
        <w:t>Conferir as informações do tipo de doação (aférese, sangue total);</w:t>
      </w:r>
      <w:r>
        <w:br/>
      </w:r>
      <w:r>
        <w:t>Observação:</w:t>
      </w:r>
      <w:r>
        <w:br/>
      </w:r>
      <w:r>
        <w:t xml:space="preserve">1 - </w:t>
      </w:r>
      <w:r>
        <w:t>Se for a 1° doação de aférese do doador, o mesmo será encaminhado para o consultório médico para saber se está apto para esse tipo de doação.</w:t>
      </w:r>
      <w:r>
        <w:br/>
      </w:r>
      <w:r>
        <w:br/>
      </w:r>
      <w:r>
        <w:t>Por que essa atividade acontece?</w:t>
      </w:r>
      <w:r>
        <w:br/>
      </w:r>
      <w:r>
        <w:t>Essa atividade acontece porque é necessário convocar o doador e conferir as informações da pré-triagem.</w:t>
      </w:r>
      <w:r>
        <w:t> </w:t>
      </w:r>
    </w:p>
    <w:p>
      <w:pPr>
        <w:pStyle w:val="bizHeading4"/>
      </w:pPr>
      <w:bookmarkStart w:id="10" w:name="_Toc256000006"/>
      <w:r>
        <w:drawing>
          <wp:inline>
            <wp:extent cx="152421" cy="152421"/>
            <wp:docPr id="1608271168"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1772933" name=""/>
                    <pic:cNvPicPr>
                      <a:picLocks noChangeAspect="1"/>
                    </pic:cNvPicPr>
                  </pic:nvPicPr>
                  <pic:blipFill>
                    <a:blip xmlns:r="http://schemas.openxmlformats.org/officeDocument/2006/relationships" r:embed="rId7"/>
                    <a:stretch>
                      <a:fillRect/>
                    </a:stretch>
                  </pic:blipFill>
                  <pic:spPr>
                    <a:xfrm>
                      <a:off x="0" y="0"/>
                      <a:ext cx="152421" cy="152421"/>
                    </a:xfrm>
                    <a:prstGeom prst="rect">
                      <a:avLst/>
                    </a:prstGeom>
                  </pic:spPr>
                </pic:pic>
              </a:graphicData>
            </a:graphic>
          </wp:inline>
        </w:drawing>
      </w:r>
      <w:r>
        <w:t>2- Realizar consulta médica</w:t>
      </w:r>
      <w:bookmarkEnd w:id="10"/>
    </w:p>
    <w:p/>
    <w:p>
      <w:pPr>
        <w:pStyle w:val="BoldModelerNormal"/>
      </w:pPr>
      <w:r>
        <w:t>Descrição</w:t>
      </w:r>
    </w:p>
    <w:p>
      <w:pPr>
        <w:pStyle w:val="ModelerNormal"/>
        <w:spacing w:afterAutospacing="1"/>
      </w:pPr>
      <w:r>
        <w:t>O que:</w:t>
      </w:r>
      <w:r>
        <w:t xml:space="preserve"> Realizar consulta médica</w:t>
      </w:r>
      <w:r>
        <w:br/>
      </w:r>
      <w:r>
        <w:br/>
      </w:r>
      <w:r>
        <w:t xml:space="preserve">Quando: </w:t>
      </w:r>
      <w:r>
        <w:t>O doador será encaminhado pela triagem clinica quando for realizar a 1° doação de aférese</w:t>
      </w:r>
      <w:r>
        <w:br/>
      </w:r>
      <w:r>
        <w:br/>
      </w:r>
      <w:r>
        <w:t>Como:</w:t>
      </w:r>
      <w:r>
        <w:br/>
      </w:r>
      <w:r>
        <w:t>Tarefa 1:</w:t>
      </w:r>
      <w:r>
        <w:t xml:space="preserve"> </w:t>
      </w:r>
      <w:r>
        <w:t>Acessar o sistema SIHRO;</w:t>
      </w:r>
      <w:r>
        <w:br/>
      </w:r>
      <w:r>
        <w:t xml:space="preserve">Tarefa 2: </w:t>
      </w:r>
      <w:r>
        <w:t>Acessar a aba Médico;</w:t>
      </w:r>
      <w:r>
        <w:br/>
      </w:r>
      <w:r>
        <w:t xml:space="preserve">Tarefa 3: </w:t>
      </w:r>
      <w:r>
        <w:t>Conferir o nome do doador, data, n° cartão do sus e o código do doador;</w:t>
      </w:r>
      <w:r>
        <w:br/>
      </w:r>
      <w:r>
        <w:t xml:space="preserve">Tarefa 4: </w:t>
      </w:r>
      <w:r>
        <w:t>Realizar consulta médica e registrar as informações da consulta no sistema;</w:t>
      </w:r>
      <w:r>
        <w:br/>
      </w:r>
      <w:r>
        <w:t>Observação:</w:t>
      </w:r>
      <w:r>
        <w:br/>
      </w:r>
      <w:r>
        <w:t xml:space="preserve">1 - </w:t>
      </w:r>
      <w:r>
        <w:t>O sistema deverá conter um campo de anotações, sem limitações de caracteres.</w:t>
      </w:r>
      <w:r>
        <w:br/>
      </w:r>
      <w:r>
        <w:t xml:space="preserve">Tarefa 5: </w:t>
      </w:r>
      <w:r>
        <w:t>Enviar as informações da consulta para a triagem clínica.</w:t>
      </w:r>
      <w:r>
        <w:br/>
      </w:r>
      <w:r>
        <w:t>Observação:</w:t>
      </w:r>
      <w:r>
        <w:br/>
      </w:r>
      <w:r>
        <w:t xml:space="preserve">1 </w:t>
      </w:r>
      <w:r>
        <w:t>- Após a consulta médica, o doador irá retornar para a sala de triagem clínica.</w:t>
      </w:r>
      <w:r>
        <w:br/>
      </w:r>
      <w:r>
        <w:t xml:space="preserve">Ponto de atenção: </w:t>
      </w:r>
      <w:r>
        <w:t>Se o doador não estiver apto para doar aférese e não quer realizar uma doação normal, Registrar no sistema o tipo de inaptidão (temporária/definitiva), quantidade dias e o motivo da inaptidão e liberar o doador.</w:t>
      </w:r>
      <w:r>
        <w:br/>
      </w:r>
      <w:r>
        <w:br/>
      </w:r>
      <w:r>
        <w:t>Por que essa atividade acontece?</w:t>
      </w:r>
      <w:r>
        <w:br/>
      </w:r>
      <w:r>
        <w:t>Essa atividade acontece porque é necessário realizar consulta médica para saber se o doador está apto a ser um doador de aférese.</w:t>
      </w:r>
      <w:r>
        <w:t> </w:t>
      </w:r>
    </w:p>
    <w:p>
      <w:pPr>
        <w:pStyle w:val="bizHeading4"/>
      </w:pPr>
      <w:bookmarkStart w:id="11" w:name="_Toc256000007"/>
      <w:r>
        <w:drawing>
          <wp:inline>
            <wp:extent cx="152421" cy="152421"/>
            <wp:docPr id="684005090"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8663088" name=""/>
                    <pic:cNvPicPr>
                      <a:picLocks noChangeAspect="1"/>
                    </pic:cNvPicPr>
                  </pic:nvPicPr>
                  <pic:blipFill>
                    <a:blip xmlns:r="http://schemas.openxmlformats.org/officeDocument/2006/relationships" r:embed="rId8"/>
                    <a:stretch>
                      <a:fillRect/>
                    </a:stretch>
                  </pic:blipFill>
                  <pic:spPr>
                    <a:xfrm>
                      <a:off x="0" y="0"/>
                      <a:ext cx="152421" cy="152421"/>
                    </a:xfrm>
                    <a:prstGeom prst="rect">
                      <a:avLst/>
                    </a:prstGeom>
                  </pic:spPr>
                </pic:pic>
              </a:graphicData>
            </a:graphic>
          </wp:inline>
        </w:drawing>
      </w:r>
      <w:r>
        <w:t>Realização da triagem</w:t>
      </w:r>
      <w:bookmarkEnd w:id="11"/>
    </w:p>
    <w:p/>
    <w:p>
      <w:pPr>
        <w:pStyle w:val="bizHeading4"/>
      </w:pPr>
      <w:bookmarkStart w:id="12" w:name="_Toc256000008"/>
      <w:r>
        <w:drawing>
          <wp:inline>
            <wp:extent cx="152421" cy="152421"/>
            <wp:docPr id="1818594090"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4726726" name=""/>
                    <pic:cNvPicPr>
                      <a:picLocks noChangeAspect="1"/>
                    </pic:cNvPicPr>
                  </pic:nvPicPr>
                  <pic:blipFill>
                    <a:blip xmlns:r="http://schemas.openxmlformats.org/officeDocument/2006/relationships" r:embed="rId8"/>
                    <a:stretch>
                      <a:fillRect/>
                    </a:stretch>
                  </pic:blipFill>
                  <pic:spPr>
                    <a:xfrm>
                      <a:off x="0" y="0"/>
                      <a:ext cx="152421" cy="152421"/>
                    </a:xfrm>
                    <a:prstGeom prst="rect">
                      <a:avLst/>
                    </a:prstGeom>
                  </pic:spPr>
                </pic:pic>
              </a:graphicData>
            </a:graphic>
          </wp:inline>
        </w:drawing>
      </w:r>
      <w:r>
        <w:t>Realização da triagem</w:t>
      </w:r>
      <w:bookmarkEnd w:id="12"/>
    </w:p>
    <w:p/>
    <w:p>
      <w:pPr>
        <w:pStyle w:val="bizHeading4"/>
      </w:pPr>
      <w:bookmarkStart w:id="13" w:name="_Toc256000009"/>
      <w:r>
        <w:drawing>
          <wp:inline>
            <wp:extent cx="152421" cy="152421"/>
            <wp:docPr id="1575904570"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039511" name=""/>
                    <pic:cNvPicPr>
                      <a:picLocks noChangeAspect="1"/>
                    </pic:cNvPicPr>
                  </pic:nvPicPr>
                  <pic:blipFill>
                    <a:blip xmlns:r="http://schemas.openxmlformats.org/officeDocument/2006/relationships" r:embed="rId9"/>
                    <a:stretch>
                      <a:fillRect/>
                    </a:stretch>
                  </pic:blipFill>
                  <pic:spPr>
                    <a:xfrm>
                      <a:off x="0" y="0"/>
                      <a:ext cx="152421" cy="152421"/>
                    </a:xfrm>
                    <a:prstGeom prst="rect">
                      <a:avLst/>
                    </a:prstGeom>
                  </pic:spPr>
                </pic:pic>
              </a:graphicData>
            </a:graphic>
          </wp:inline>
        </w:drawing>
      </w:r>
      <w:r>
        <w:t>Resultado da aferição da 2ª pré triagem</w:t>
      </w:r>
      <w:bookmarkEnd w:id="13"/>
    </w:p>
    <w:p/>
    <w:p>
      <w:pPr>
        <w:pStyle w:val="bizHeading4"/>
      </w:pPr>
      <w:bookmarkStart w:id="14" w:name="_Toc256000010"/>
      <w:r>
        <w:drawing>
          <wp:inline>
            <wp:extent cx="152421" cy="152421"/>
            <wp:docPr id="692110962"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0866600" name=""/>
                    <pic:cNvPicPr>
                      <a:picLocks noChangeAspect="1"/>
                    </pic:cNvPicPr>
                  </pic:nvPicPr>
                  <pic:blipFill>
                    <a:blip xmlns:r="http://schemas.openxmlformats.org/officeDocument/2006/relationships" r:embed="rId9"/>
                    <a:stretch>
                      <a:fillRect/>
                    </a:stretch>
                  </pic:blipFill>
                  <pic:spPr>
                    <a:xfrm>
                      <a:off x="0" y="0"/>
                      <a:ext cx="152421" cy="152421"/>
                    </a:xfrm>
                    <a:prstGeom prst="rect">
                      <a:avLst/>
                    </a:prstGeom>
                  </pic:spPr>
                </pic:pic>
              </a:graphicData>
            </a:graphic>
          </wp:inline>
        </w:drawing>
      </w:r>
      <w:r>
        <w:t>Realização da triagem</w:t>
      </w:r>
      <w:bookmarkEnd w:id="14"/>
    </w:p>
    <w:p/>
    <w:p>
      <w:pPr>
        <w:pStyle w:val="bizHeading4"/>
      </w:pPr>
      <w:bookmarkStart w:id="15" w:name="_Toc256000011"/>
      <w:r>
        <w:drawing>
          <wp:inline>
            <wp:extent cx="152421" cy="152421"/>
            <wp:docPr id="962990908"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0404317" name=""/>
                    <pic:cNvPicPr>
                      <a:picLocks noChangeAspect="1"/>
                    </pic:cNvPicPr>
                  </pic:nvPicPr>
                  <pic:blipFill>
                    <a:blip xmlns:r="http://schemas.openxmlformats.org/officeDocument/2006/relationships" r:embed="rId7"/>
                    <a:stretch>
                      <a:fillRect/>
                    </a:stretch>
                  </pic:blipFill>
                  <pic:spPr>
                    <a:xfrm>
                      <a:off x="0" y="0"/>
                      <a:ext cx="152421" cy="152421"/>
                    </a:xfrm>
                    <a:prstGeom prst="rect">
                      <a:avLst/>
                    </a:prstGeom>
                  </pic:spPr>
                </pic:pic>
              </a:graphicData>
            </a:graphic>
          </wp:inline>
        </w:drawing>
      </w:r>
      <w:r>
        <w:t>2-Realizar triagem clínica</w:t>
      </w:r>
      <w:bookmarkEnd w:id="15"/>
    </w:p>
    <w:p/>
    <w:p>
      <w:pPr>
        <w:pStyle w:val="BoldModelerNormal"/>
      </w:pPr>
      <w:r>
        <w:t>Descrição</w:t>
      </w:r>
    </w:p>
    <w:p>
      <w:pPr>
        <w:pStyle w:val="ModelerNormal"/>
        <w:spacing w:afterAutospacing="1"/>
      </w:pPr>
      <w:r>
        <w:t xml:space="preserve">Onde: </w:t>
      </w:r>
      <w:r>
        <w:t>No Sistema SIHRO</w:t>
      </w:r>
    </w:p>
    <w:p>
      <w:pPr>
        <w:pStyle w:val="ModelerNormal"/>
        <w:spacing w:afterAutospacing="1"/>
      </w:pPr>
      <w:r>
        <w:t> </w:t>
      </w:r>
    </w:p>
    <w:p>
      <w:pPr>
        <w:pStyle w:val="ModelerNormal"/>
        <w:spacing w:afterAutospacing="1"/>
      </w:pPr>
      <w:r>
        <w:t>O que:</w:t>
      </w:r>
      <w:r>
        <w:t xml:space="preserve"> Realizar triagem clínica </w:t>
      </w:r>
    </w:p>
    <w:p>
      <w:pPr>
        <w:pStyle w:val="ModelerNormal"/>
        <w:spacing w:afterAutospacing="1"/>
      </w:pPr>
      <w:r>
        <w:t> </w:t>
      </w:r>
    </w:p>
    <w:p>
      <w:pPr>
        <w:pStyle w:val="ModelerNormal"/>
        <w:spacing w:afterAutospacing="1"/>
      </w:pPr>
      <w:r>
        <w:t>Quando:</w:t>
      </w:r>
    </w:p>
    <w:p>
      <w:pPr>
        <w:pStyle w:val="ModelerNormal"/>
        <w:spacing w:afterAutospacing="1"/>
      </w:pPr>
      <w:r>
        <w:t> </w:t>
      </w:r>
    </w:p>
    <w:p>
      <w:pPr>
        <w:pStyle w:val="ModelerNormal"/>
        <w:spacing w:afterAutospacing="1"/>
      </w:pPr>
      <w:r>
        <w:t xml:space="preserve">Como: </w:t>
      </w:r>
    </w:p>
    <w:p>
      <w:pPr>
        <w:pStyle w:val="ModelerNormal"/>
        <w:spacing w:afterAutospacing="1"/>
      </w:pPr>
      <w:r>
        <w:t> </w:t>
      </w:r>
    </w:p>
    <w:p>
      <w:pPr>
        <w:pStyle w:val="ModelerNormal"/>
        <w:spacing w:afterAutospacing="1"/>
      </w:pPr>
      <w:r>
        <w:t xml:space="preserve">Tarefa 1: </w:t>
      </w:r>
      <w:r>
        <w:t> Conferir</w:t>
      </w:r>
      <w:r>
        <w:t xml:space="preserve"> </w:t>
      </w:r>
      <w:r>
        <w:t>os dados do doador na ficha de triagem clínica;</w:t>
      </w:r>
    </w:p>
    <w:p>
      <w:pPr>
        <w:pStyle w:val="ModelerNormal"/>
        <w:spacing w:afterAutospacing="1"/>
      </w:pPr>
      <w:r>
        <w:t> </w:t>
      </w:r>
    </w:p>
    <w:p>
      <w:pPr>
        <w:pStyle w:val="ModelerNormal"/>
        <w:spacing w:afterAutospacing="1"/>
      </w:pPr>
      <w:r>
        <w:t xml:space="preserve">Tarefa 2: </w:t>
      </w:r>
      <w:r>
        <w:t>Conferir os dados da pré-triagem na ficha de triagem clínica;</w:t>
      </w:r>
    </w:p>
    <w:p>
      <w:pPr>
        <w:pStyle w:val="ModelerNormal"/>
        <w:spacing w:afterAutospacing="1"/>
      </w:pPr>
      <w:r>
        <w:t xml:space="preserve">Observações: </w:t>
      </w:r>
    </w:p>
    <w:p>
      <w:pPr>
        <w:pStyle w:val="ModelerNormal"/>
        <w:spacing w:afterAutospacing="1"/>
      </w:pPr>
      <w:r>
        <w:t xml:space="preserve">1 - </w:t>
      </w:r>
      <w:r>
        <w:t>Se ocorrer intercorrência nos sinais vitais do doador, solicitar realização de 2° pré-triagem</w:t>
      </w:r>
    </w:p>
    <w:p>
      <w:pPr>
        <w:pStyle w:val="ModelerNormal"/>
        <w:spacing w:afterAutospacing="1"/>
      </w:pPr>
      <w:r>
        <w:t xml:space="preserve">2 - </w:t>
      </w:r>
      <w:r>
        <w:t>Se a intercorrência persistir, o doador é declarado inapto.</w:t>
      </w:r>
      <w:r>
        <w:br/>
      </w:r>
      <w:r>
        <w:t xml:space="preserve">Tarefa 3: </w:t>
      </w:r>
      <w:r>
        <w:t>Realizar entrevista, preenchendo as informações, conforme a ficha de triagem clínica (no sistema);</w:t>
      </w:r>
      <w:r>
        <w:br/>
      </w:r>
      <w:r>
        <w:t>Observação:</w:t>
      </w:r>
      <w:r>
        <w:br/>
      </w:r>
      <w:r>
        <w:t xml:space="preserve">1 - </w:t>
      </w:r>
      <w:r>
        <w:t>Se for doação de aférese, o sistema deverá ter a opção de consultar o exame de hemograma realizado no setor de Controle da Qualidade.</w:t>
      </w:r>
      <w:r>
        <w:br/>
      </w:r>
      <w:r>
        <w:t xml:space="preserve">Tarefa 5: </w:t>
      </w:r>
      <w:r>
        <w:t>Orientar o doador sobre a doação de sangue, verbais e escritas no impresso; </w:t>
      </w:r>
      <w:r>
        <w:br/>
      </w:r>
      <w:r>
        <w:t xml:space="preserve">Tarefa 6: </w:t>
      </w:r>
      <w:r>
        <w:t>Solicitar assinatura do candidado no termo de consentimento.</w:t>
      </w:r>
      <w:r>
        <w:br/>
      </w:r>
      <w:r>
        <w:t>Observações:</w:t>
      </w:r>
      <w:r>
        <w:br/>
      </w:r>
      <w:r>
        <w:t xml:space="preserve">1 - </w:t>
      </w:r>
      <w:r>
        <w:t>O doador deverá assinar o termo de consentimento eletronicamente (De acordo ou não De acordo). Se ele não estiver de acordo, preencher o motivo e assinar.</w:t>
      </w:r>
      <w:r>
        <w:br/>
      </w:r>
      <w:r>
        <w:t>2</w:t>
      </w:r>
      <w:r>
        <w:t xml:space="preserve"> - Se o candidato não estiver de acordo com o termo, informar o código de inaptidão no sistema e realizar anotações, se necessário;</w:t>
      </w:r>
      <w:r>
        <w:br/>
      </w:r>
      <w:r>
        <w:t xml:space="preserve">Ponto de atenção: </w:t>
      </w:r>
      <w:r>
        <w:t>O doador de aférese, deverá apresentar o exame de hemograma (realizado pelo controle de qualidade), para o cálculo do volume de plaquetas a ser coletado.</w:t>
      </w:r>
      <w:r>
        <w:br/>
      </w:r>
      <w:r>
        <w:br/>
      </w:r>
      <w:r>
        <w:t>Por que essa atividade acontece?</w:t>
      </w:r>
      <w:r>
        <w:br/>
      </w:r>
      <w:r>
        <w:t>Essa atividade acontece, porque é necessário realizar a triagem clínica do doador e coletar sua assinatura no termo de consentimento, declarando que recebeu as devidas orientações sobre a doação de sangue, conforme formulário em anexo. </w:t>
      </w:r>
    </w:p>
    <w:p>
      <w:pPr>
        <w:pStyle w:val="ModelerNormal"/>
        <w:spacing w:afterAutospacing="1"/>
      </w:pPr>
      <w:r>
        <w:br/>
      </w:r>
      <w:r>
        <w:t>PORTARIA Nº 158, DE 4 DE FEVEREIRO DE 2016</w:t>
      </w:r>
      <w:r>
        <w:t xml:space="preserve"> </w:t>
      </w:r>
      <w:r>
        <w:t>   Redefine o regulamento técnico de procedimentos hemoterápicos.</w:t>
      </w:r>
      <w:r>
        <w:t xml:space="preserve"> </w:t>
      </w:r>
    </w:p>
    <w:p>
      <w:pPr>
        <w:pStyle w:val="ModelerNormal"/>
        <w:spacing w:afterAutospacing="1"/>
      </w:pPr>
      <w:r>
        <w:t>Art. 32. O candidato à doação de sangue deve assinar termo de consentimento livre e esclarecido, no qual declara expressamente consentir:</w:t>
      </w:r>
      <w:r>
        <w:br/>
      </w:r>
      <w:r>
        <w:t>I - em doar o seu sangue para utilização em qualquer paciente que dele necessite;</w:t>
      </w:r>
      <w:r>
        <w:br/>
      </w:r>
      <w:r>
        <w:t>II - a realização de todos os testes de laboratório exigidos pelas leis e normas técnicas vigentes;</w:t>
      </w:r>
      <w:r>
        <w:br/>
      </w:r>
      <w:r>
        <w:t>III - que o seu nome seja incorporado a arquivo de doadores, local e nacional;</w:t>
      </w:r>
      <w:r>
        <w:br/>
      </w:r>
      <w:r>
        <w:t>IV - que em caso de resultados reagentes ou inconclusivos nas triagens laboratoriais, ou em situações de retrovigilância, seja permitida a "busca ativa" pelo serviço de hemoterapia ou por órgão de vigilância em saúde para repetição de testes ou testes confirmatórios e de diagnóstico; e</w:t>
      </w:r>
      <w:r>
        <w:br/>
      </w:r>
      <w:r>
        <w:t>V - que os componentes sanguíneos produzidos a partir da sua doação, quando não utilizado em transfusão, possam ser utilizados em produção de reagentes e hemoderivados ou como insumos para outros procedimentos, autorizados legalmente.</w:t>
      </w:r>
      <w:r>
        <w:br/>
      </w:r>
      <w:r>
        <w:t>§ 1º A utilização de qualquer material proveniente da doação de sangue para pesquisas somente será permitida segundo as normas que regulamentam a ética em pesquisa no Brasil.</w:t>
      </w:r>
      <w:r>
        <w:br/>
      </w:r>
      <w:r>
        <w:t>§ 2º Previamente à assinatura do termo de consentimento, devem ser prestadas informações ao candidato à doação, com linguagem compreensível, sobre as características do processo de doação, o destino do sangue doado, os riscos associados à doação, os testes que serão realizados em seu sangue para detectar infecções e a possibilidade da ocorrência de resultados falsos-reagentes nesses testes de triagem.</w:t>
      </w:r>
      <w:r>
        <w:br/>
      </w:r>
      <w:r>
        <w:t>§ 3º Ao candidato à doação deve ser oferecida a oportunidade de fazer todas as perguntas que julgar necessárias para esclarecer suas dúvidas a respeito do procedimento e negar seu consentimento, se assim lhe aprouver.</w:t>
      </w:r>
    </w:p>
    <w:p>
      <w:pPr>
        <w:pStyle w:val="bizHeading4"/>
      </w:pPr>
      <w:bookmarkStart w:id="16" w:name="_Toc256000012"/>
      <w:r>
        <w:drawing>
          <wp:inline>
            <wp:extent cx="152421" cy="152421"/>
            <wp:docPr id="67619229"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9926352" name=""/>
                    <pic:cNvPicPr>
                      <a:picLocks noChangeAspect="1"/>
                    </pic:cNvPicPr>
                  </pic:nvPicPr>
                  <pic:blipFill>
                    <a:blip xmlns:r="http://schemas.openxmlformats.org/officeDocument/2006/relationships" r:embed="rId7"/>
                    <a:stretch>
                      <a:fillRect/>
                    </a:stretch>
                  </pic:blipFill>
                  <pic:spPr>
                    <a:xfrm>
                      <a:off x="0" y="0"/>
                      <a:ext cx="152421" cy="152421"/>
                    </a:xfrm>
                    <a:prstGeom prst="rect">
                      <a:avLst/>
                    </a:prstGeom>
                  </pic:spPr>
                </pic:pic>
              </a:graphicData>
            </a:graphic>
          </wp:inline>
        </w:drawing>
      </w:r>
      <w:r>
        <w:t>3- Concluir triagem clínica</w:t>
      </w:r>
      <w:bookmarkEnd w:id="16"/>
    </w:p>
    <w:p/>
    <w:p>
      <w:pPr>
        <w:pStyle w:val="BoldModelerNormal"/>
      </w:pPr>
      <w:r>
        <w:t>Descrição</w:t>
      </w:r>
    </w:p>
    <w:p>
      <w:pPr>
        <w:pStyle w:val="ModelerNormal"/>
        <w:spacing w:afterAutospacing="1"/>
      </w:pPr>
      <w:r>
        <w:t xml:space="preserve">Onde: </w:t>
      </w:r>
      <w:r>
        <w:t>No sistema SIHRO</w:t>
      </w:r>
      <w:r>
        <w:br/>
      </w:r>
      <w:r>
        <w:br/>
      </w:r>
      <w:r>
        <w:t>O que:</w:t>
      </w:r>
      <w:r>
        <w:t xml:space="preserve"> Concluir triagem clínica</w:t>
      </w:r>
      <w:r>
        <w:br/>
      </w:r>
      <w:r>
        <w:br/>
      </w:r>
      <w:r>
        <w:t>Quando:</w:t>
      </w:r>
      <w:r>
        <w:br/>
      </w:r>
      <w:r>
        <w:br/>
      </w:r>
      <w:r>
        <w:t>Como</w:t>
      </w:r>
      <w:r>
        <w:br/>
      </w:r>
      <w:r>
        <w:t xml:space="preserve">Tarefa 1: </w:t>
      </w:r>
      <w:r>
        <w:t>Informar se o doador está na  Apto na Triagem (Sim/Não);</w:t>
      </w:r>
      <w:r>
        <w:br/>
      </w:r>
      <w:r>
        <w:t>Observações:</w:t>
      </w:r>
      <w:r>
        <w:br/>
      </w:r>
      <w:r>
        <w:t xml:space="preserve">1 - </w:t>
      </w:r>
      <w:r>
        <w:t>Se o doador estiver inapto, informar o código da inaptidão;</w:t>
      </w:r>
      <w:r>
        <w:br/>
      </w:r>
      <w:r>
        <w:t xml:space="preserve">2 - </w:t>
      </w:r>
      <w:r>
        <w:t>Se o doador estiver inapto, informar o tipo de inaptidão (definitivo ou temporário);</w:t>
      </w:r>
      <w:r>
        <w:br/>
      </w:r>
      <w:r>
        <w:t xml:space="preserve">3 - </w:t>
      </w:r>
      <w:r>
        <w:t>Se a inaptidão for temporária, informar a quantidade de dias;</w:t>
      </w:r>
      <w:r>
        <w:br/>
      </w:r>
      <w:r>
        <w:t xml:space="preserve">4 - </w:t>
      </w:r>
      <w:r>
        <w:t>Realizar anotações, se necessário (Campo anotações).</w:t>
      </w:r>
      <w:r>
        <w:br/>
      </w:r>
      <w:r>
        <w:t xml:space="preserve">Tarefa 2: </w:t>
      </w:r>
      <w:r>
        <w:t>Informar volume de sangue a ser coletado;</w:t>
      </w:r>
      <w:r>
        <w:br/>
      </w:r>
      <w:r>
        <w:br/>
      </w:r>
      <w:r>
        <w:t>Dupla, Tripla ou Quádrupla</w:t>
      </w:r>
      <w:r>
        <w:br/>
      </w:r>
      <w:r>
        <w:br/>
      </w:r>
      <w:r>
        <w:t xml:space="preserve">Tarefa 3: </w:t>
      </w:r>
      <w:r>
        <w:t>Informar aviso para a produção</w:t>
      </w:r>
      <w:r>
        <w:br/>
      </w:r>
      <w:r>
        <w:t>Tipo de produção:</w:t>
      </w:r>
      <w:r>
        <w:br/>
      </w:r>
      <w:r>
        <w:t>OK- Fazer todos</w:t>
      </w:r>
      <w:r>
        <w:br/>
      </w:r>
      <w:r>
        <w:t>N.F.P- Não fazer plaquetas</w:t>
      </w:r>
      <w:r>
        <w:br/>
      </w:r>
      <w:r>
        <w:t>N.F.P.P- Não fazer plasma nem plaquetas</w:t>
      </w:r>
      <w:r>
        <w:br/>
      </w:r>
      <w:r>
        <w:t>D.S- Descarte subjetivo</w:t>
      </w:r>
      <w:r>
        <w:br/>
      </w:r>
      <w:r>
        <w:t>Ponto de atenção:</w:t>
      </w:r>
      <w:r>
        <w:t xml:space="preserve"> Se o doador estiver inapto para doação, porém necessita saber sua tipagem sanguínea (acordo feito com a Fhemeron com antecedência, por exemplo, os soldados do exército) , marcar tipagem sanguínea.</w:t>
      </w:r>
      <w:r>
        <w:br/>
      </w:r>
      <w:r>
        <w:br/>
      </w:r>
      <w:r>
        <w:t>Por que essa atividade acontece?</w:t>
      </w:r>
      <w:r>
        <w:t xml:space="preserve"> </w:t>
      </w:r>
      <w:r>
        <w:br/>
      </w:r>
      <w:r>
        <w:t>Essa atividade acontece, porque é necessário realizar a conclusão da triagem clínica, informando o volume de sangue a ser coletado e o aviso para produção.</w:t>
      </w:r>
    </w:p>
    <w:p>
      <w:pPr>
        <w:pStyle w:val="ModelerNormal"/>
        <w:spacing w:afterAutospacing="1"/>
      </w:pPr>
      <w:r>
        <w:t>PORTARIA Nº 158, DE 4 DE FEVEREIRO DE 2016</w:t>
      </w:r>
      <w:r>
        <w:t xml:space="preserve"> </w:t>
      </w:r>
      <w:r>
        <w:t>   Redefine o regulamento técnico de procedimentos hemoterápicos.</w:t>
      </w:r>
      <w:r>
        <w:t xml:space="preserve"> </w:t>
      </w:r>
    </w:p>
    <w:p>
      <w:pPr>
        <w:pStyle w:val="ModelerNormal"/>
        <w:spacing w:afterAutospacing="1"/>
      </w:pPr>
      <w:r>
        <w:t>Art. 36. Com a finalidade de proteger os doadores, serão adotadas, tanto no momento da seleção de candidatos quanto no momento da doação, as seguintes medidas e critérios estabelecidos neste regulamento:</w:t>
      </w:r>
      <w:r>
        <w:br/>
      </w:r>
      <w:r>
        <w:t>I - a frequência anual máxima de doações e o intervalo mínimo entre as doações;</w:t>
      </w:r>
      <w:r>
        <w:br/>
      </w:r>
      <w:r>
        <w:t>II - as idades mínima e máxima para doação;</w:t>
      </w:r>
      <w:r>
        <w:br/>
      </w:r>
      <w:r>
        <w:t>III - a massa corpórea mínima;</w:t>
      </w:r>
      <w:r>
        <w:br/>
      </w:r>
      <w:r>
        <w:t>IV - a aferição do pulso;</w:t>
      </w:r>
      <w:r>
        <w:br/>
      </w:r>
      <w:r>
        <w:t>V - a aferição da pressão arterial;</w:t>
      </w:r>
      <w:r>
        <w:br/>
      </w:r>
      <w:r>
        <w:t>VI - os níveis de hematócrito/hemoglobina;</w:t>
      </w:r>
      <w:r>
        <w:br/>
      </w:r>
      <w:r>
        <w:t>VII - a história médica e os antecedentes patológicos do doador;</w:t>
      </w:r>
      <w:r>
        <w:br/>
      </w:r>
      <w:r>
        <w:t>VIII - a utilização de medicamentos;</w:t>
      </w:r>
      <w:r>
        <w:br/>
      </w:r>
      <w:r>
        <w:t>IX - as hipóteses de gestação, lactação, abortamento e menstruação;</w:t>
      </w:r>
      <w:r>
        <w:br/>
      </w:r>
      <w:r>
        <w:t>X - o jejum e a alimentação adequada;</w:t>
      </w:r>
      <w:r>
        <w:br/>
      </w:r>
      <w:r>
        <w:t>XI - o consumo de bebidas alcoólicas;</w:t>
      </w:r>
      <w:r>
        <w:br/>
      </w:r>
      <w:r>
        <w:t>XII - os episódios alérgicos;</w:t>
      </w:r>
      <w:r>
        <w:br/>
      </w:r>
      <w:r>
        <w:t>XIII - as ocupações habituais; e</w:t>
      </w:r>
      <w:r>
        <w:br/>
      </w:r>
      <w:r>
        <w:t>XIV - o volume a ser coletado.</w:t>
      </w:r>
      <w:r>
        <w:br/>
      </w:r>
      <w:r>
        <w:t>Art. 39. Para ser selecionado para doação, o candidato deve ter, no mínimo, peso de 50 kg (cinquenta quilogramas).</w:t>
      </w:r>
      <w:r>
        <w:br/>
      </w:r>
      <w:r>
        <w:t>§ 1º Candidatos com peso abaixo de 50 kg (cinquenta quilogramas) poderão ser aceitos para fins de doação, após avaliação médica, desde que o volume do anticoagulante na bolsa de coleta seja proporcional ao volume a ser coletado, respeitadas as demais determinações da Seção III deste Capítulo.</w:t>
      </w:r>
      <w:r>
        <w:br/>
      </w:r>
      <w:r>
        <w:t>§ 2º Não serão selecionados os candidatos à doação que apresentarem perda de peso inexplicável superior a 10% (dez por cento) da massa corporal nos 3 (três) meses que antecederem à doação.</w:t>
      </w:r>
      <w:r>
        <w:br/>
      </w:r>
      <w:r>
        <w:t>Art. 40. Na aferição do pulso do candidato, a pulsação deverá apresentar características normais, ser regular e sua frequência não deve ser menor que 50 (cinquenta) nem maior que 100 (cem) batimentos por minuto.</w:t>
      </w:r>
      <w:r>
        <w:br/>
      </w:r>
      <w:r>
        <w:t>Parágrafo único. A aceitação de doadores com pulso irregular ou com frequência fora dos limites estabelecidos no "caput" dependerá de avaliação médica.</w:t>
      </w:r>
      <w:r>
        <w:br/>
      </w:r>
      <w:r>
        <w:t>Art. 41. Na aferição da pressão arterial do candidato, a pressão sistólica não deve ser maior que 180 mmHg (cento e oitenta milímetros de mercúrio) e a pressão diastólica não deve ser maior que 100 mmHg (cem milímetros de mercúrio). Parágrafo único. Doadores com limite de pressão arterial fora dos parâmetros estabelecidos no "caput" somente serão considerados aptos para doação após avaliação médica qualificada.</w:t>
      </w:r>
      <w:r>
        <w:br/>
      </w:r>
      <w:r>
        <w:t>Art. 42. No momento da seleção, será determinada a concentração de hemoglobina (Hb) ou de hematócrito (Ht) em amostra de sangue do candidato à doação obtida por punção digital ou por venopunção ou por método validado que possa vir a substituí-los.</w:t>
      </w:r>
      <w:r>
        <w:br/>
      </w:r>
      <w:r>
        <w:t>§ 1º Os valores mínimos aceitáveis do nível de hemoglobina/hematócrito são:</w:t>
      </w:r>
      <w:r>
        <w:br/>
      </w:r>
      <w:r>
        <w:t>I - mulheres: Hb =12,5g/dL ou Ht =38%; e</w:t>
      </w:r>
      <w:r>
        <w:br/>
      </w:r>
      <w:r>
        <w:t>II - homens: Hb =13,0g/dL ou Ht =39%.</w:t>
      </w:r>
      <w:r>
        <w:br/>
      </w:r>
      <w:r>
        <w:t>§ 2º O candidato que apresente níveis de Hb igual ou maior que 18,0g/dL ou Ht igual ou maior que 54% será impedido de doar e encaminhado para investigação clínica.</w:t>
      </w:r>
      <w:r>
        <w:br/>
      </w:r>
      <w:r>
        <w:t>Art. 39. Para ser selecionado para doação, o candidato deve ter, no mínimo, peso de 50 kg (cinquenta quilogramas).</w:t>
      </w:r>
      <w:r>
        <w:br/>
      </w:r>
      <w:r>
        <w:t>§ 1º Candidatos com peso abaixo de 50 kg (cinquenta quilogramas) poderão ser aceitos para fins de doação, após avaliação médica, desde que o volume do anticoagulante na bolsa de coleta seja proporcional ao volume a ser coletado, respeitadas as demais determinações da Seção III deste Capítulo.</w:t>
      </w:r>
      <w:r>
        <w:br/>
      </w:r>
      <w:r>
        <w:t>§ 2º Não serão selecionados os candidatos à doação que apresentarem perda de peso inexplicável superior a 10% (dez por cento) da massa corporal nos 3 (três) meses que antecederem à doação.</w:t>
      </w:r>
      <w:r>
        <w:br/>
      </w:r>
      <w:r>
        <w:t>Art. 40. Na aferição do pulso do candidato, a pulsação deverá apresentar características normais, ser regular e sua frequência não deve ser menor que 50 (cinquenta) nem maior que 100 (cem) batimentos por minuto.</w:t>
      </w:r>
      <w:r>
        <w:br/>
      </w:r>
      <w:r>
        <w:t>Parágrafo único. A aceitação de doadores com pulso irregular ou com frequência fora dos limites estabelecidos no "caput" dependerá de avaliação médica.</w:t>
      </w:r>
      <w:r>
        <w:br/>
      </w:r>
      <w:r>
        <w:t>Art. 41. Na aferição da pressão arterial do candidato, a pressão sistólica não deve ser maior que 180 mmHg (cento e oitenta milímetros de mercúrio) e a pressão diastólica não deve ser maior que 100 mmHg (cem milímetros de mercúrio). Parágrafo único. Doadores com limite de pressão arterial fora dos parâmetros estabelecidos no "caput" somente serão considerados aptos para doação após avaliação médica qualificada.</w:t>
      </w:r>
      <w:r>
        <w:br/>
      </w:r>
      <w:r>
        <w:t>Art. 42. No momento da seleção, será determinada a concentração de hemoglobina (Hb) ou de hematócrito (Ht) em amostra de sangue do candidato à doação obtida por punção digital ou por venopunção ou por método validado que possa vir a substituí-los.</w:t>
      </w:r>
      <w:r>
        <w:br/>
      </w:r>
      <w:r>
        <w:t>§ 1º Os valores mínimos aceitáveis do nível de hemoglobina/hematócrito são:</w:t>
      </w:r>
      <w:r>
        <w:br/>
      </w:r>
      <w:r>
        <w:t>I - mulheres: Hb =12,5g/dL ou Ht =38%; e</w:t>
      </w:r>
      <w:r>
        <w:br/>
      </w:r>
      <w:r>
        <w:t>II - homens: Hb =13,0g/dL ou Ht =39%.</w:t>
      </w:r>
      <w:r>
        <w:br/>
      </w:r>
      <w:r>
        <w:t>§ 2º O candidato que apresente níveis de Hb igual ou maior que 18,0g/dL ou Ht igual ou maior que 54% será impedido de doar e encaminhado para investigação clínica.</w:t>
      </w:r>
      <w:r>
        <w:br/>
      </w:r>
      <w:r>
        <w:t>Art. 43. Serão avaliados a história médica e os antecedentes patológicos do doador segundo as doenças e antecedentes que contraindicam definitiva ou temporariamente a doação de sangue constantes dos Anexos I e II.</w:t>
      </w:r>
      <w:r>
        <w:br/>
      </w:r>
      <w:r>
        <w:t>Art. 44. A história terapêutica recente, em relação ao uso de medicamentos pelo candidato, receberá avaliação especial por parte do médico, uma vez que a indicação quanto ao próprio tratamento pode motivar a inaptidão do candidato à doação.</w:t>
      </w:r>
      <w:r>
        <w:br/>
      </w:r>
      <w:r>
        <w:t>§ 1º Cada medicamento será avaliado individualmente e em conjunto e, sempre que possa apresentar alguma correlação com a doação de sangue, registrado na ficha de triagem.</w:t>
      </w:r>
      <w:r>
        <w:br/>
      </w:r>
      <w:r>
        <w:t>§ 2º Será observada a lista detalhada de medicamentos que contraindicam a doação ou exijam cuidados especiais, nos termos do Anexo III.</w:t>
      </w:r>
      <w:r>
        <w:br/>
      </w:r>
      <w:r>
        <w:t>§ 3º A ingestão do ácido acetilsalicílico (aspirina) e/ou outros anti-inflamatórios não esteroides (AINE) que interfiram na função plaquetária, nos 3 (três) dias anteriores à doação, exclui a preparação de plaquetas para esta doação, mas não implica a inaptidão do candidato.</w:t>
      </w:r>
      <w:r>
        <w:br/>
      </w:r>
      <w:r>
        <w:t>Art. 45. A gestação é motivo de inaptidão temporária para doação de sangue até 12 (doze) semanas após o parto ou abortamento.</w:t>
      </w:r>
      <w:r>
        <w:br/>
      </w:r>
      <w:r>
        <w:t>§ 1º Não serão aceitas como doadoras as mulheres em período de lactação, a menos que o parto tenha ocorrido há mais de 12 (doze) meses.</w:t>
      </w:r>
      <w:r>
        <w:br/>
      </w:r>
      <w:r>
        <w:t>§ 2º Em caso de necessidade técnica, a doação da mãe para o recém-nascido poderá ser realizada, desde que haja consentimento por escrito do hemoterapeuta e do médico obstetra, com apresentação de relatório médico que a justifique.</w:t>
      </w:r>
      <w:r>
        <w:br/>
      </w:r>
      <w:r>
        <w:t>§ 3º A doação autóloga de gestantes será aceita se contar com a aprovação formal do obstetra responsável e do médico do serviço de hemoterapia.</w:t>
      </w:r>
      <w:r>
        <w:br/>
      </w:r>
      <w:r>
        <w:t>§ 4º A aprovação de que trata o § 3º será registrada em prontuário médico com assinatura dos profissionais envolvidos.</w:t>
      </w:r>
      <w:r>
        <w:br/>
      </w:r>
      <w:r>
        <w:t>Art. 46. A menstruação não é contraindicação para a doação.</w:t>
      </w:r>
      <w:r>
        <w:br/>
      </w:r>
      <w:r>
        <w:t>Parágrafo único. A hipermenorreia ou outras alterações menstruais serão avaliadas pelo médico.</w:t>
      </w:r>
      <w:r>
        <w:t> </w:t>
      </w:r>
    </w:p>
    <w:p>
      <w:pPr>
        <w:pStyle w:val="bizHeading4"/>
      </w:pPr>
      <w:bookmarkStart w:id="17" w:name="_Toc256000013"/>
      <w:r>
        <w:drawing>
          <wp:inline>
            <wp:extent cx="152421" cy="152421"/>
            <wp:docPr id="399550073"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1776103" name=""/>
                    <pic:cNvPicPr>
                      <a:picLocks noChangeAspect="1"/>
                    </pic:cNvPicPr>
                  </pic:nvPicPr>
                  <pic:blipFill>
                    <a:blip xmlns:r="http://schemas.openxmlformats.org/officeDocument/2006/relationships" r:embed="rId10"/>
                    <a:stretch>
                      <a:fillRect/>
                    </a:stretch>
                  </pic:blipFill>
                  <pic:spPr>
                    <a:xfrm>
                      <a:off x="0" y="0"/>
                      <a:ext cx="152421" cy="152421"/>
                    </a:xfrm>
                    <a:prstGeom prst="rect">
                      <a:avLst/>
                    </a:prstGeom>
                  </pic:spPr>
                </pic:pic>
              </a:graphicData>
            </a:graphic>
          </wp:inline>
        </w:drawing>
      </w:r>
      <w:r>
        <w:t>4- Calcular percentual do volume do sangue a ser coletado</w:t>
      </w:r>
      <w:bookmarkEnd w:id="17"/>
    </w:p>
    <w:p/>
    <w:p>
      <w:pPr>
        <w:pStyle w:val="BoldModelerNormal"/>
      </w:pPr>
      <w:r>
        <w:t>Descrição</w:t>
      </w:r>
    </w:p>
    <w:p>
      <w:pPr>
        <w:pStyle w:val="ModelerNormal"/>
        <w:spacing w:afterAutospacing="1"/>
      </w:pPr>
      <w:r>
        <w:t xml:space="preserve">Onde: </w:t>
      </w:r>
      <w:r>
        <w:t>Na triagem clínica/Sistema SIHRO</w:t>
      </w:r>
      <w:r>
        <w:br/>
      </w:r>
      <w:r>
        <w:br/>
      </w:r>
      <w:r>
        <w:t>O que:</w:t>
      </w:r>
      <w:r>
        <w:t xml:space="preserve"> Calcular percentual de retirada de plaquetas</w:t>
      </w:r>
      <w:r>
        <w:br/>
      </w:r>
      <w:r>
        <w:br/>
      </w:r>
      <w:r>
        <w:t>Quando:</w:t>
      </w:r>
      <w:r>
        <w:br/>
      </w:r>
      <w:r>
        <w:br/>
      </w:r>
      <w:r>
        <w:t>Como:</w:t>
      </w:r>
      <w:r>
        <w:br/>
      </w:r>
      <w:r>
        <w:t xml:space="preserve">Tarefa 1: </w:t>
      </w:r>
      <w:r>
        <w:t>No sistema SIHRO, selecionar a opção de doação de Aférese; </w:t>
      </w:r>
      <w:r>
        <w:br/>
      </w:r>
      <w:r>
        <w:t>Observações:</w:t>
      </w:r>
      <w:r>
        <w:br/>
      </w:r>
      <w:r>
        <w:t xml:space="preserve">1 - </w:t>
      </w:r>
      <w:r>
        <w:t>O sistema deverá gerar automaticamente o resultado de retirada de percentual de plaquetas (e/ou conter o campo para preenchimento das informações)</w:t>
      </w:r>
      <w:r>
        <w:t>;</w:t>
      </w:r>
      <w:r>
        <w:br/>
      </w:r>
      <w:r>
        <w:t>2 -</w:t>
      </w:r>
      <w:r>
        <w:t xml:space="preserve"> Esse cálculo é feito com base do fabricante do equipamento</w:t>
      </w:r>
      <w:r>
        <w:br/>
      </w:r>
      <w:r>
        <w:t xml:space="preserve">3 - </w:t>
      </w:r>
      <w:r>
        <w:t>O doador de aférese, antes de realizar a pré-triagem/triagem, necessita realizar o exame de hemograma, para posterior doação de aférese;</w:t>
      </w:r>
      <w:r>
        <w:br/>
      </w:r>
      <w:r>
        <w:t xml:space="preserve">4 - </w:t>
      </w:r>
      <w:r>
        <w:t>As informações do cálculo retirada de plaquetas deverão constar no sistema: peso, altura, pressão, pulso, temperatura, volemia e percentual de retirada de plaquetas.</w:t>
      </w:r>
      <w:r>
        <w:br/>
      </w:r>
      <w:r>
        <w:br/>
      </w:r>
      <w:r>
        <w:t>Por que essa atividade acontece?</w:t>
      </w:r>
      <w:r>
        <w:t xml:space="preserve"> </w:t>
      </w:r>
      <w:r>
        <w:br/>
      </w:r>
      <w:r>
        <w:t>Essa atividade acontece, porque é necessário realizar o cálculo do volume de plaquetas a ser coletado, para posterior doação na sala de coleta.</w:t>
      </w:r>
      <w:r>
        <w:br/>
      </w:r>
      <w:r>
        <w:t> </w:t>
      </w:r>
    </w:p>
    <w:p>
      <w:pPr>
        <w:pStyle w:val="ModelerNormal"/>
        <w:spacing w:afterAutospacing="1"/>
      </w:pPr>
      <w:r>
        <w:t>PORTARIA Nº 158, DE 4 DE FEVEREIRO DE 2016</w:t>
      </w:r>
      <w:r>
        <w:t xml:space="preserve"> </w:t>
      </w:r>
    </w:p>
    <w:p>
      <w:pPr>
        <w:pStyle w:val="ModelerNormal"/>
        <w:spacing w:afterAutospacing="1"/>
      </w:pPr>
      <w:r>
        <w:t> Redefine o regulamento técnico de procedimentos hemoterápicos.</w:t>
      </w:r>
    </w:p>
    <w:p>
      <w:pPr>
        <w:pStyle w:val="ModelerNormal"/>
        <w:spacing w:afterAutospacing="1"/>
      </w:pPr>
      <w:r>
        <w:t xml:space="preserve">Art. 160. O volume sanguíneo extracorpóreo não deve superar 15% da volemia do doador. </w:t>
      </w:r>
    </w:p>
    <w:p>
      <w:pPr>
        <w:pStyle w:val="BoldModelerNormal"/>
      </w:pPr>
      <w:r>
        <w:t>Implementação</w:t>
      </w:r>
    </w:p>
    <w:p>
      <w:pPr>
        <w:pStyle w:val="ModelerNormal"/>
      </w:pPr>
      <w:r>
        <w:t>Serviço Web</w:t>
      </w:r>
    </w:p>
    <w:p>
      <w:pPr>
        <w:pStyle w:val="bizHeading4"/>
      </w:pPr>
      <w:bookmarkStart w:id="18" w:name="_Toc256000014"/>
      <w:r>
        <w:drawing>
          <wp:inline>
            <wp:extent cx="152421" cy="152421"/>
            <wp:docPr id="332424518"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662567" name=""/>
                    <pic:cNvPicPr>
                      <a:picLocks noChangeAspect="1"/>
                    </pic:cNvPicPr>
                  </pic:nvPicPr>
                  <pic:blipFill>
                    <a:blip xmlns:r="http://schemas.openxmlformats.org/officeDocument/2006/relationships" r:embed="rId8"/>
                    <a:stretch>
                      <a:fillRect/>
                    </a:stretch>
                  </pic:blipFill>
                  <pic:spPr>
                    <a:xfrm>
                      <a:off x="0" y="0"/>
                      <a:ext cx="152421" cy="152421"/>
                    </a:xfrm>
                    <a:prstGeom prst="rect">
                      <a:avLst/>
                    </a:prstGeom>
                  </pic:spPr>
                </pic:pic>
              </a:graphicData>
            </a:graphic>
          </wp:inline>
        </w:drawing>
      </w:r>
      <w:r>
        <w:t>Orientação</w:t>
      </w:r>
      <w:bookmarkEnd w:id="18"/>
    </w:p>
    <w:p/>
    <w:p>
      <w:pPr>
        <w:pStyle w:val="bizHeading4"/>
      </w:pPr>
      <w:bookmarkStart w:id="19" w:name="_Toc256000015"/>
      <w:r>
        <w:drawing>
          <wp:inline>
            <wp:extent cx="152421" cy="152421"/>
            <wp:docPr id="508978605"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9731490" name=""/>
                    <pic:cNvPicPr>
                      <a:picLocks noChangeAspect="1"/>
                    </pic:cNvPicPr>
                  </pic:nvPicPr>
                  <pic:blipFill>
                    <a:blip xmlns:r="http://schemas.openxmlformats.org/officeDocument/2006/relationships" r:embed="rId8"/>
                    <a:stretch>
                      <a:fillRect/>
                    </a:stretch>
                  </pic:blipFill>
                  <pic:spPr>
                    <a:xfrm>
                      <a:off x="0" y="0"/>
                      <a:ext cx="152421" cy="152421"/>
                    </a:xfrm>
                    <a:prstGeom prst="rect">
                      <a:avLst/>
                    </a:prstGeom>
                  </pic:spPr>
                </pic:pic>
              </a:graphicData>
            </a:graphic>
          </wp:inline>
        </w:drawing>
      </w:r>
      <w:r>
        <w:t>Resultado da aferição da 2ª pré triagem</w:t>
      </w:r>
      <w:bookmarkEnd w:id="19"/>
    </w:p>
    <w:p/>
    <w:p>
      <w:pPr>
        <w:pStyle w:val="bizHeading4"/>
      </w:pPr>
      <w:bookmarkStart w:id="20" w:name="_Toc256000016"/>
      <w:r>
        <w:drawing>
          <wp:inline>
            <wp:extent cx="152421" cy="152421"/>
            <wp:docPr id="91694174"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6965146" name=""/>
                    <pic:cNvPicPr>
                      <a:picLocks noChangeAspect="1"/>
                    </pic:cNvPicPr>
                  </pic:nvPicPr>
                  <pic:blipFill>
                    <a:blip xmlns:r="http://schemas.openxmlformats.org/officeDocument/2006/relationships" r:embed="rId8"/>
                    <a:stretch>
                      <a:fillRect/>
                    </a:stretch>
                  </pic:blipFill>
                  <pic:spPr>
                    <a:xfrm>
                      <a:off x="0" y="0"/>
                      <a:ext cx="152421" cy="152421"/>
                    </a:xfrm>
                    <a:prstGeom prst="rect">
                      <a:avLst/>
                    </a:prstGeom>
                  </pic:spPr>
                </pic:pic>
              </a:graphicData>
            </a:graphic>
          </wp:inline>
        </w:drawing>
      </w:r>
      <w:r>
        <w:t>Consultar inaptidão</w:t>
      </w:r>
      <w:bookmarkEnd w:id="20"/>
    </w:p>
    <w:p/>
    <w:p>
      <w:pPr>
        <w:pStyle w:val="bizHeading4"/>
      </w:pPr>
      <w:bookmarkStart w:id="21" w:name="_Toc256000017"/>
      <w:r>
        <w:drawing>
          <wp:inline>
            <wp:extent cx="152421" cy="152421"/>
            <wp:docPr id="1752417478"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0500729" name=""/>
                    <pic:cNvPicPr>
                      <a:picLocks noChangeAspect="1"/>
                    </pic:cNvPicPr>
                  </pic:nvPicPr>
                  <pic:blipFill>
                    <a:blip xmlns:r="http://schemas.openxmlformats.org/officeDocument/2006/relationships" r:embed="rId9"/>
                    <a:stretch>
                      <a:fillRect/>
                    </a:stretch>
                  </pic:blipFill>
                  <pic:spPr>
                    <a:xfrm>
                      <a:off x="0" y="0"/>
                      <a:ext cx="152421" cy="152421"/>
                    </a:xfrm>
                    <a:prstGeom prst="rect">
                      <a:avLst/>
                    </a:prstGeom>
                  </pic:spPr>
                </pic:pic>
              </a:graphicData>
            </a:graphic>
          </wp:inline>
        </w:drawing>
      </w:r>
      <w:r>
        <w:t>Consultar inaptidão</w:t>
      </w:r>
      <w:bookmarkEnd w:id="21"/>
    </w:p>
    <w:p/>
    <w:p>
      <w:pPr>
        <w:pStyle w:val="bizHeading4"/>
      </w:pPr>
      <w:bookmarkStart w:id="22" w:name="_Toc256000018"/>
      <w:r>
        <w:drawing>
          <wp:inline>
            <wp:extent cx="152421" cy="152421"/>
            <wp:docPr id="2099387026"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4839782" name=""/>
                    <pic:cNvPicPr>
                      <a:picLocks noChangeAspect="1"/>
                    </pic:cNvPicPr>
                  </pic:nvPicPr>
                  <pic:blipFill>
                    <a:blip xmlns:r="http://schemas.openxmlformats.org/officeDocument/2006/relationships" r:embed="rId7"/>
                    <a:stretch>
                      <a:fillRect/>
                    </a:stretch>
                  </pic:blipFill>
                  <pic:spPr>
                    <a:xfrm>
                      <a:off x="0" y="0"/>
                      <a:ext cx="152421" cy="152421"/>
                    </a:xfrm>
                    <a:prstGeom prst="rect">
                      <a:avLst/>
                    </a:prstGeom>
                  </pic:spPr>
                </pic:pic>
              </a:graphicData>
            </a:graphic>
          </wp:inline>
        </w:drawing>
      </w:r>
      <w:r>
        <w:t>4-Consultar o tipo de inaptidão</w:t>
      </w:r>
      <w:bookmarkEnd w:id="22"/>
    </w:p>
    <w:p/>
    <w:p>
      <w:pPr>
        <w:pStyle w:val="BoldModelerNormal"/>
      </w:pPr>
      <w:r>
        <w:t>Descrição</w:t>
      </w:r>
    </w:p>
    <w:p>
      <w:pPr>
        <w:pStyle w:val="ModelerNormal"/>
        <w:spacing w:afterAutospacing="1"/>
      </w:pPr>
      <w:r>
        <w:t xml:space="preserve">Onde: </w:t>
      </w:r>
      <w:r>
        <w:t>Na triagem clínica</w:t>
      </w:r>
      <w:r>
        <w:br/>
      </w:r>
      <w:r>
        <w:br/>
      </w:r>
      <w:r>
        <w:t>O que:</w:t>
      </w:r>
      <w:r>
        <w:t xml:space="preserve"> Consultar o tipo de inaptidão</w:t>
      </w:r>
      <w:r>
        <w:br/>
      </w:r>
      <w:r>
        <w:br/>
      </w:r>
      <w:r>
        <w:t>Quando:</w:t>
      </w:r>
      <w:r>
        <w:br/>
      </w:r>
      <w:r>
        <w:br/>
      </w:r>
      <w:r>
        <w:t>Como:</w:t>
      </w:r>
      <w:r>
        <w:br/>
      </w:r>
      <w:r>
        <w:t xml:space="preserve">Tarefa 1: </w:t>
      </w:r>
      <w:r>
        <w:t xml:space="preserve">Consultar a </w:t>
      </w:r>
      <w:r>
        <w:t>Portaria de Consolidação nº 5 DE 28/09/2017</w:t>
      </w:r>
      <w:r>
        <w:t>, para identificar o tipo de inaptidão;</w:t>
      </w:r>
      <w:r>
        <w:br/>
      </w:r>
      <w:r>
        <w:t>Observação:</w:t>
      </w:r>
      <w:r>
        <w:br/>
      </w:r>
      <w:r>
        <w:t xml:space="preserve">1 </w:t>
      </w:r>
      <w:r>
        <w:t>- Se não constar na portaria o tipo de inaptidão, o doador será encaminhado ao consultório médico.</w:t>
      </w:r>
      <w:r>
        <w:br/>
      </w:r>
      <w:r>
        <w:t xml:space="preserve">Tarefa 2: </w:t>
      </w:r>
      <w:r>
        <w:t>Registrar no sistema o tipo de inaptidão (temporária/definitiva), quantidade dias e o motivo da inaptidão;</w:t>
      </w:r>
      <w:r>
        <w:br/>
      </w:r>
      <w:r>
        <w:br/>
      </w:r>
      <w:r>
        <w:t>Por que essa atividade acontece?</w:t>
      </w:r>
      <w:r>
        <w:br/>
      </w:r>
      <w:r>
        <w:t xml:space="preserve">Essa atividade acontece, porque é necessário consultar a </w:t>
      </w:r>
      <w:r>
        <w:t>Portaria de Consolidação nº 5 DE 28/09/2017, para identificar o tipo de inaptidão, e se necessário, encaminhar o doador ao consultório médico.</w:t>
      </w:r>
      <w:r>
        <w:t> </w:t>
      </w:r>
    </w:p>
    <w:p>
      <w:pPr>
        <w:pStyle w:val="bizHeading4"/>
      </w:pPr>
      <w:bookmarkStart w:id="23" w:name="_Toc256000019"/>
      <w:r>
        <w:drawing>
          <wp:inline>
            <wp:extent cx="152421" cy="152421"/>
            <wp:docPr id="723822887"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8494659" name=""/>
                    <pic:cNvPicPr>
                      <a:picLocks noChangeAspect="1"/>
                    </pic:cNvPicPr>
                  </pic:nvPicPr>
                  <pic:blipFill>
                    <a:blip xmlns:r="http://schemas.openxmlformats.org/officeDocument/2006/relationships" r:embed="rId7"/>
                    <a:stretch>
                      <a:fillRect/>
                    </a:stretch>
                  </pic:blipFill>
                  <pic:spPr>
                    <a:xfrm>
                      <a:off x="0" y="0"/>
                      <a:ext cx="152421" cy="152421"/>
                    </a:xfrm>
                    <a:prstGeom prst="rect">
                      <a:avLst/>
                    </a:prstGeom>
                  </pic:spPr>
                </pic:pic>
              </a:graphicData>
            </a:graphic>
          </wp:inline>
        </w:drawing>
      </w:r>
      <w:r>
        <w:t>5- Realizar consulta</w:t>
      </w:r>
      <w:bookmarkEnd w:id="23"/>
    </w:p>
    <w:p/>
    <w:p>
      <w:pPr>
        <w:pStyle w:val="BoldModelerNormal"/>
      </w:pPr>
      <w:r>
        <w:t>Descrição</w:t>
      </w:r>
    </w:p>
    <w:p>
      <w:pPr>
        <w:pStyle w:val="ModelerNormal"/>
        <w:spacing w:afterAutospacing="1"/>
      </w:pPr>
      <w:r>
        <w:t xml:space="preserve">Onde: </w:t>
      </w:r>
      <w:r>
        <w:t>No sistema SIHRO</w:t>
      </w:r>
      <w:r>
        <w:br/>
      </w:r>
      <w:r>
        <w:br/>
      </w:r>
      <w:r>
        <w:t>O que:</w:t>
      </w:r>
      <w:r>
        <w:t xml:space="preserve"> Realizar consulta médica</w:t>
      </w:r>
      <w:r>
        <w:br/>
      </w:r>
      <w:r>
        <w:br/>
      </w:r>
      <w:r>
        <w:t xml:space="preserve">Quando: </w:t>
      </w:r>
      <w:r>
        <w:t>Após o doador ser encaminhado para identificar o tipo de inaptidão e/ou caso o doador discorde da inaptidão.</w:t>
      </w:r>
      <w:r>
        <w:br/>
      </w:r>
      <w:r>
        <w:br/>
      </w:r>
      <w:r>
        <w:t>Como:</w:t>
      </w:r>
      <w:r>
        <w:br/>
      </w:r>
      <w:r>
        <w:t>Tarefa 1:</w:t>
      </w:r>
      <w:r>
        <w:t xml:space="preserve"> </w:t>
      </w:r>
      <w:r>
        <w:t>Acessar o sistema na aba Médico, buscar o doador pelo CPF e/ou nome;</w:t>
      </w:r>
      <w:r>
        <w:br/>
      </w:r>
      <w:r>
        <w:t xml:space="preserve">Tarefa 2: </w:t>
      </w:r>
      <w:r>
        <w:t>Realizar consulta médica e registrar as informações pertinentes no sistema;</w:t>
      </w:r>
    </w:p>
    <w:p>
      <w:pPr>
        <w:pStyle w:val="ModelerNormal"/>
        <w:spacing w:afterAutospacing="1"/>
      </w:pPr>
      <w:r>
        <w:t>Observação:</w:t>
      </w:r>
      <w:r>
        <w:br/>
      </w:r>
      <w:r>
        <w:t xml:space="preserve">1 - </w:t>
      </w:r>
      <w:r>
        <w:t>O sistema deverá conter um campo de anotações, sem limitações de caracteres.</w:t>
      </w:r>
      <w:r>
        <w:br/>
      </w:r>
      <w:r>
        <w:t xml:space="preserve">Tarefa 3: </w:t>
      </w:r>
      <w:r>
        <w:t>Informar verbalmente ao candidato a doação o resultado da consulta e solicitar ciência do mesmo.</w:t>
      </w:r>
      <w:r>
        <w:br/>
      </w:r>
      <w:r>
        <w:br/>
      </w:r>
      <w:r>
        <w:t>Por que essa atividade acontece?</w:t>
      </w:r>
      <w:r>
        <w:br/>
      </w:r>
      <w:r>
        <w:t>Essa atividade acontece, porque é necessário realizar a consulta médica para saber o motivo da inaptidão do doador.</w:t>
      </w:r>
    </w:p>
    <w:p>
      <w:pPr>
        <w:pStyle w:val="ModelerNormal"/>
        <w:spacing w:afterAutospacing="1"/>
      </w:pPr>
      <w:r>
        <w:br/>
      </w:r>
      <w:r>
        <w:br/>
      </w:r>
      <w:r>
        <w:t>PORTARIA Nº 158, DE 4 DE FEVEREIRO DE 2016</w:t>
      </w:r>
      <w:r>
        <w:t xml:space="preserve"> </w:t>
      </w:r>
    </w:p>
    <w:p>
      <w:pPr>
        <w:pStyle w:val="ModelerNormal"/>
        <w:spacing w:afterAutospacing="1"/>
      </w:pPr>
      <w:r>
        <w:t>Redefine o regulamento técnico de procedimentos hemoterápicos.</w:t>
      </w:r>
    </w:p>
    <w:p>
      <w:pPr>
        <w:pStyle w:val="ModelerNormal"/>
        <w:spacing w:afterAutospacing="1"/>
      </w:pPr>
      <w:r>
        <w:t xml:space="preserve">Art. 35. Como critério para a seleção dos doadores, no dia da doação o profissional de saúde de nível superior, qualificado, capacitado, conhecedor das regras previstas nesta Portaria e sob supervisão médica, avaliará os antecedentes e o estado atual do candidato a doador para determinar se a coleta pode ser realizada sem causar prejuízo ao doador e se a transfusão dos componentes sanguíneos preparados a partir dessa doação pode vir a causar risco para os receptores. </w:t>
      </w:r>
      <w:r>
        <w:br/>
      </w:r>
      <w:r>
        <w:t>Art. 39. Para ser selecionado para doação, o candidato deve ter, no mínimo, peso de 50 kg (cinquenta quilogramas).</w:t>
      </w:r>
      <w:r>
        <w:br/>
      </w:r>
      <w:r>
        <w:t>§ 1º Candidatos com peso abaixo de 50 kg (cinquenta quilogramas) poderão ser aceitos para fins de doação, após avaliação médica, desde que o volume do anticoagulante na bolsa de coleta seja proporcional ao volume a ser coletado, respeitadas as demais determinações da Seção III deste Capítulo.</w:t>
      </w:r>
      <w:r>
        <w:br/>
      </w:r>
      <w:r>
        <w:t>§ 2º Não serão selecionados os candidatos à doação que apresentarem perda de peso inexplicável superior a 10% (dez por cento) da massa corporal nos 3 (três) meses que antecederem à doação.</w:t>
      </w:r>
      <w:r>
        <w:br/>
      </w:r>
      <w:r>
        <w:t>Art. 40. Na aferição do pulso do candidato, a pulsação deverá apresentar características normais, ser regular e sua frequência não deve ser menor que 50 (cinquenta) nem maior que 100 (cem) batimentos por minuto.</w:t>
      </w:r>
      <w:r>
        <w:br/>
      </w:r>
      <w:r>
        <w:t>Parágrafo único. A aceitação de doadores com pulso irregular ou com frequência fora dos limites estabelecidos no "caput" dependerá de avaliação médica.</w:t>
      </w:r>
      <w:r>
        <w:br/>
      </w:r>
      <w:r>
        <w:t>Art. 41. Na aferição da pressão arterial do candidato, a pressão sistólica não deve ser maior que 180 mmHg (cento e oitenta milímetros de mercúrio) e a pressão diastólica não deve ser maior que 100 mmHg (cem milímetros de mercúrio). Parágrafo único. Doadores com limite de pressão arterial fora dos parâmetros estabelecidos no "caput" somente serão considerados aptos para doação após avaliação médica qualificada.</w:t>
      </w:r>
      <w:r>
        <w:t> </w:t>
      </w:r>
    </w:p>
    <w:p>
      <w:pPr>
        <w:pStyle w:val="bizHeading4"/>
      </w:pPr>
      <w:bookmarkStart w:id="24" w:name="_Toc256000020"/>
      <w:r>
        <w:drawing>
          <wp:inline>
            <wp:extent cx="152421" cy="152421"/>
            <wp:docPr id="1427052787"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0926166" name=""/>
                    <pic:cNvPicPr>
                      <a:picLocks noChangeAspect="1"/>
                    </pic:cNvPicPr>
                  </pic:nvPicPr>
                  <pic:blipFill>
                    <a:blip xmlns:r="http://schemas.openxmlformats.org/officeDocument/2006/relationships" r:embed="rId9"/>
                    <a:stretch>
                      <a:fillRect/>
                    </a:stretch>
                  </pic:blipFill>
                  <pic:spPr>
                    <a:xfrm>
                      <a:off x="0" y="0"/>
                      <a:ext cx="152421" cy="152421"/>
                    </a:xfrm>
                    <a:prstGeom prst="rect">
                      <a:avLst/>
                    </a:prstGeom>
                  </pic:spPr>
                </pic:pic>
              </a:graphicData>
            </a:graphic>
          </wp:inline>
        </w:drawing>
      </w:r>
      <w:r>
        <w:t>Orientação</w:t>
      </w:r>
      <w:bookmarkEnd w:id="24"/>
    </w:p>
    <w:p/>
    <w:p>
      <w:pPr>
        <w:pStyle w:val="bizHeading4"/>
      </w:pPr>
      <w:bookmarkStart w:id="25" w:name="_Toc256000021"/>
      <w:r>
        <w:drawing>
          <wp:inline>
            <wp:extent cx="152421" cy="152421"/>
            <wp:docPr id="1780428505"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1951991" name=""/>
                    <pic:cNvPicPr>
                      <a:picLocks noChangeAspect="1"/>
                    </pic:cNvPicPr>
                  </pic:nvPicPr>
                  <pic:blipFill>
                    <a:blip xmlns:r="http://schemas.openxmlformats.org/officeDocument/2006/relationships" r:embed="rId7"/>
                    <a:stretch>
                      <a:fillRect/>
                    </a:stretch>
                  </pic:blipFill>
                  <pic:spPr>
                    <a:xfrm>
                      <a:off x="0" y="0"/>
                      <a:ext cx="152421" cy="152421"/>
                    </a:xfrm>
                    <a:prstGeom prst="rect">
                      <a:avLst/>
                    </a:prstGeom>
                  </pic:spPr>
                </pic:pic>
              </a:graphicData>
            </a:graphic>
          </wp:inline>
        </w:drawing>
      </w:r>
      <w:r>
        <w:t>4- Realizar orientação ao doador</w:t>
      </w:r>
      <w:bookmarkEnd w:id="25"/>
    </w:p>
    <w:p/>
    <w:p>
      <w:pPr>
        <w:pStyle w:val="BoldModelerNormal"/>
      </w:pPr>
      <w:r>
        <w:t>Descrição</w:t>
      </w:r>
    </w:p>
    <w:p>
      <w:pPr>
        <w:pStyle w:val="ModelerNormal"/>
        <w:spacing w:afterAutospacing="1"/>
      </w:pPr>
      <w:r>
        <w:t xml:space="preserve">Onde: </w:t>
      </w:r>
      <w:r>
        <w:t>Na triagem clínica</w:t>
      </w:r>
      <w:r>
        <w:br/>
      </w:r>
      <w:r>
        <w:br/>
      </w:r>
      <w:r>
        <w:t>O que:</w:t>
      </w:r>
      <w:r>
        <w:t xml:space="preserve"> Realizar orientação ao doador</w:t>
      </w:r>
      <w:r>
        <w:br/>
      </w:r>
      <w:r>
        <w:br/>
      </w:r>
      <w:r>
        <w:t>Quando:</w:t>
      </w:r>
      <w:r>
        <w:br/>
      </w:r>
      <w:r>
        <w:br/>
      </w:r>
      <w:r>
        <w:t>Como</w:t>
      </w:r>
      <w:r>
        <w:br/>
      </w:r>
      <w:r>
        <w:t xml:space="preserve">Tarefa 1: </w:t>
      </w:r>
      <w:r>
        <w:t>Entregar ticket de lanche (pré-lanche ou lanche) preenchido com a data e assinatura da enfermeira;</w:t>
      </w:r>
      <w:r>
        <w:br/>
      </w:r>
      <w:r>
        <w:t>Observação:</w:t>
      </w:r>
      <w:r>
        <w:br/>
      </w:r>
      <w:r>
        <w:t xml:space="preserve">1 - </w:t>
      </w:r>
      <w:r>
        <w:t>Verificar se o doador necessita de atestado médico, se sim, preencher o atestado (preencher no sistema SIHRO, porém a liberação para impressão do atestado será apenas, após finalizar a doação).</w:t>
      </w:r>
      <w:r>
        <w:br/>
      </w:r>
      <w:r>
        <w:t>Ponto de atenção:</w:t>
      </w:r>
      <w:r>
        <w:t xml:space="preserve"> Para a impressão do atestado, a Fhemeron deverá disponibilizar um computador com acesso a internet/sistema. Após a finalizar a doação, o doador deverá inserir o CPF para confirmar a doação e imprimir seu atestado, se for o caso. O doador, deverá preencher o voto de auto-exclusão para concluir sua doação.</w:t>
      </w:r>
      <w:r>
        <w:br/>
      </w:r>
      <w:r>
        <w:t xml:space="preserve">Tarefa 2: </w:t>
      </w:r>
      <w:r>
        <w:t>Realizar orientações necessárias sobre a doação ao doador, se for o caso;</w:t>
      </w:r>
      <w:r>
        <w:br/>
      </w:r>
      <w:r>
        <w:t xml:space="preserve">Tarefa 3: </w:t>
      </w:r>
      <w:r>
        <w:t>Orientar o doador para aguardar chamamento no setor da coleta.</w:t>
      </w:r>
      <w:r>
        <w:br/>
      </w:r>
      <w:r>
        <w:br/>
      </w:r>
      <w:r>
        <w:t>Por que essa atividade acontece?</w:t>
      </w:r>
      <w:r>
        <w:br/>
      </w:r>
      <w:r>
        <w:t>Essa atividade acontece, porque é necessário realizar a entrega do ticket do lanche, disponibilizar o atestado médico, caso seja solicitado, orientar o doador sobre a doação de sangue e orientar que aguarde o chamamento na sala de coleta. </w:t>
      </w:r>
    </w:p>
    <w:p>
      <w:pPr>
        <w:pStyle w:val="ModelerNormal"/>
        <w:spacing w:afterAutospacing="1"/>
      </w:pPr>
      <w:r>
        <w:t> </w:t>
      </w:r>
    </w:p>
    <w:p>
      <w:pPr>
        <w:pStyle w:val="ModelerNormal"/>
        <w:spacing w:afterAutospacing="1"/>
      </w:pPr>
      <w:r>
        <w:t>PORTARIA Nº 158, DE 4 DE FEVEREIRO DE 2016</w:t>
      </w:r>
    </w:p>
    <w:p>
      <w:pPr>
        <w:pStyle w:val="ModelerNormal"/>
        <w:spacing w:afterAutospacing="1"/>
      </w:pPr>
      <w:r>
        <w:t>Redefine o regulamento técnico de procedimentos hemoterápicos.</w:t>
      </w:r>
    </w:p>
    <w:p>
      <w:pPr>
        <w:pStyle w:val="ModelerNormal"/>
        <w:spacing w:afterAutospacing="1"/>
      </w:pPr>
      <w:r>
        <w:t>Art. 47. Será oferecida ao doador a possibilidade de hidratação oral antes da doação e os doadores que se apresentarem em jejum prolongado receberão um lanche antes da doação.</w:t>
      </w:r>
      <w:r>
        <w:br/>
      </w:r>
      <w:r>
        <w:t>§ 1º Não será coletado sangue de candidatos que tenham feito refeição copiosa e rica em substâncias gordurosas há menos de 3 (três) horas da coleta.</w:t>
      </w:r>
      <w:r>
        <w:br/>
      </w:r>
      <w:r>
        <w:t>§ 2º Após a doação, é obrigatória a oferta de hidratação oral adequada ao doador, objetivando a reposição de líquidos.</w:t>
      </w:r>
      <w:r>
        <w:br/>
      </w:r>
      <w:r>
        <w:t>§ 3º É recomendável que o doador permaneça por 15 (quinze) minutos no serviço de hemoterapia após a doação.</w:t>
      </w:r>
      <w:r>
        <w:br/>
      </w:r>
      <w:r>
        <w:t>Portaria de Consolidação nº 5 DE 28/09/2017</w:t>
      </w:r>
    </w:p>
    <w:p/>
    <w:sectPr>
      <w:pgSz w:w="12240" w:h="15840"/>
      <w:pgMar w:top="1616" w:right="1701" w:bottom="1418" w:left="1701" w:header="708" w:footer="708"/>
      <w:cols w:space="708"/>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Segoe UI Semilight">
    <w:panose1 w:val="020B0402040204020203"/>
    <w:charset w:val="00"/>
    <w:family w:val="swiss"/>
    <w:pitch w:val="variable"/>
    <w:sig w:usb0="E4002EFF" w:usb1="C000E47F" w:usb2="00000009" w:usb3="00000000" w:csb0="000001FF" w:csb1="00000000"/>
  </w:font>
  <w:font w:name="Humanst521 BT">
    <w:altName w:val="Tahoma"/>
    <w:panose1 w:val="00000000000000000000"/>
    <w:charset w:val="00"/>
    <w:family w:val="swiss"/>
    <w:pitch w:val="variable"/>
    <w:sig w:usb0="00000007" w:usb1="00000000" w:usb2="00000000" w:usb3="00000000" w:csb0="00000011" w:csb1="00000000"/>
  </w:font>
  <w:font w:name="Segoe UI">
    <w:panose1 w:val="020B0502040204020203"/>
    <w:charset w:val="00"/>
    <w:family w:val="swiss"/>
    <w:pitch w:val="variable"/>
    <w:sig w:usb0="E4002EFF" w:usb1="C000E47F" w:usb2="00000009" w:usb3="00000000" w:csb0="000001FF" w:csb1="00000000"/>
  </w:font>
  <w:font w:name="Vrinda">
    <w:altName w:val="Vrinda"/>
    <w:panose1 w:val="00000400000000000000"/>
    <w:charset w:val="00"/>
    <w:family w:val="swiss"/>
    <w:pitch w:val="variable"/>
    <w:sig w:usb0="00010003" w:usb1="00000000" w:usb2="00000000" w:usb3="00000000" w:csb0="00000001" w:csb1="00000000"/>
  </w:font>
  <w:font w:name="Cambria">
    <w:panose1 w:val="02040503050406030204"/>
    <w:charset w:val="00"/>
    <w:family w:val="roman"/>
    <w:pitch w:val="variable"/>
    <w:sig w:usb0="E00006FF" w:usb1="400004FF" w:usb2="00000000" w:usb3="00000000" w:csb0="0000019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603BE" w:rsidRPr="00AE3ACF" w:rsidP="00AE3ACF">
    <w:pPr>
      <w:pStyle w:val="Footer"/>
    </w:pPr>
    <w:r>
      <w:tab/>
    </w:r>
    <w:r>
      <w:fldChar w:fldCharType="begin"/>
    </w:r>
    <w:r>
      <w:instrText xml:space="preserve"> DATE   </w:instrText>
    </w:r>
    <w:r>
      <w:instrText>\@</w:instrText>
    </w:r>
    <w:r>
      <w:instrText xml:space="preserve"> </w:instrText>
    </w:r>
    <w:r>
      <w:instrText>dd/MM/yyyy</w:instrText>
    </w:r>
    <w:r>
      <w:instrText xml:space="preserve"> </w:instrText>
    </w:r>
    <w:r>
      <w:instrText>\*</w:instrText>
    </w:r>
    <w:r>
      <w:instrText xml:space="preserve"> </w:instrText>
    </w:r>
    <w:r>
      <w:instrText>MERGEFORMAT</w:instrText>
    </w:r>
    <w:r>
      <w:instrText xml:space="preserve"> </w:instrText>
    </w:r>
    <w:r>
      <w:fldChar w:fldCharType="separate"/>
    </w:r>
    <w:r w:rsidR="002D61C1">
      <w:rPr>
        <w:noProof/>
      </w:rPr>
      <w:t>06/06/2023</w:t>
    </w:r>
    <w:r>
      <w:fldChar w:fldCharType="end"/>
    </w:r>
    <w:r>
      <w:tab/>
    </w:r>
    <w:r w:rsidR="001572C1">
      <w:rPr>
        <w:rStyle w:val="PageNumber"/>
      </w:rPr>
      <w:fldChar w:fldCharType="begin"/>
    </w:r>
    <w:r w:rsidR="001572C1">
      <w:rPr>
        <w:rStyle w:val="PageNumber"/>
      </w:rPr>
      <w:instrText xml:space="preserve"> PAGE </w:instrText>
    </w:r>
    <w:r w:rsidR="001572C1">
      <w:rPr>
        <w:rStyle w:val="PageNumber"/>
      </w:rPr>
      <w:fldChar w:fldCharType="separate"/>
    </w:r>
    <w:r w:rsidR="001572C1">
      <w:rPr>
        <w:rStyle w:val="PageNumber"/>
      </w:rPr>
      <w:t>15</w:t>
    </w:r>
    <w:r w:rsidR="001572C1">
      <w:rPr>
        <w:rStyle w:val="PageNumber"/>
      </w:rP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603BE" w:rsidRPr="00B603BE">
    <w:pPr>
      <w:pStyle w:val="Header"/>
      <w:rPr>
        <w:lang w:val="es-ES"/>
      </w:rPr>
    </w:pPr>
    <w:r w:rsidRPr="00B603BE">
      <w:rPr>
        <w:rFonts w:ascii="Tahoma" w:hAnsi="Tahoma" w:cs="Tahoma"/>
        <w:b/>
        <w:color w:val="C0C0C0"/>
        <w:spacing w:val="140"/>
        <w:sz w:val="22"/>
        <w:szCs w:val="22"/>
      </w:rPr>
      <w:t xml:space="preserve"> </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F"/>
    <w:multiLevelType w:val="singleLevel"/>
    <w:tmpl w:val="0204B33A"/>
    <w:lvl w:ilvl="0">
      <w:start w:val="1"/>
      <w:numFmt w:val="decimal"/>
      <w:lvlText w:val="%1."/>
      <w:lvlJc w:val="left"/>
      <w:pPr>
        <w:tabs>
          <w:tab w:val="num" w:pos="720"/>
        </w:tabs>
        <w:ind w:left="720" w:hanging="360"/>
      </w:pPr>
    </w:lvl>
  </w:abstractNum>
  <w:abstractNum w:abstractNumId="1">
    <w:nsid w:val="01CF02BF"/>
    <w:multiLevelType w:val="hybridMultilevel"/>
    <w:tmpl w:val="906C130E"/>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bullet"/>
      <w:lvlText w:val=""/>
      <w:lvlJc w:val="left"/>
      <w:pPr>
        <w:tabs>
          <w:tab w:val="num" w:pos="2340"/>
        </w:tabs>
        <w:ind w:left="2340" w:hanging="360"/>
      </w:pPr>
      <w:rPr>
        <w:rFonts w:ascii="Symbol" w:hAnsi="Symbol" w:hint="default"/>
      </w:rPr>
    </w:lvl>
    <w:lvl w:ilvl="3">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
    <w:nsid w:val="02FC3410"/>
    <w:multiLevelType w:val="multilevel"/>
    <w:tmpl w:val="106A2688"/>
    <w:lvl w:ilvl="0">
      <w:start w:val="1"/>
      <w:numFmt w:val="none"/>
      <w:lvlText w:val="%1"/>
      <w:lvlJc w:val="left"/>
      <w:pPr>
        <w:tabs>
          <w:tab w:val="num" w:pos="0"/>
        </w:tabs>
        <w:ind w:left="0" w:firstLine="0"/>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4."/>
      <w:lvlJc w:val="left"/>
      <w:pPr>
        <w:tabs>
          <w:tab w:val="num" w:pos="340"/>
        </w:tabs>
        <w:ind w:left="340" w:firstLine="0"/>
      </w:pPr>
      <w:rPr>
        <w:rFonts w:hint="default"/>
        <w:b/>
        <w:i w:val="0"/>
        <w:sz w:val="20"/>
        <w:szCs w:val="20"/>
      </w:rPr>
    </w:lvl>
    <w:lvl w:ilvl="4">
      <w:start w:val="1"/>
      <w:numFmt w:val="lowerLetter"/>
      <w:lvlText w:val="%1%5."/>
      <w:lvlJc w:val="left"/>
      <w:pPr>
        <w:tabs>
          <w:tab w:val="num" w:pos="0"/>
        </w:tabs>
        <w:ind w:left="0" w:firstLine="567"/>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
    <w:nsid w:val="04D76C24"/>
    <w:multiLevelType w:val="hybridMultilevel"/>
    <w:tmpl w:val="C674034C"/>
    <w:lvl w:ilvl="0">
      <w:start w:val="1"/>
      <w:numFmt w:val="bullet"/>
      <w:lvlText w:val=""/>
      <w:lvlJc w:val="left"/>
      <w:pPr>
        <w:tabs>
          <w:tab w:val="num" w:pos="1800"/>
        </w:tabs>
        <w:ind w:left="1800" w:hanging="360"/>
      </w:pPr>
      <w:rPr>
        <w:rFonts w:ascii="Symbol" w:hAnsi="Symbol" w:hint="default"/>
        <w:color w:val="auto"/>
      </w:rPr>
    </w:lvl>
    <w:lvl w:ilvl="1">
      <w:start w:val="1"/>
      <w:numFmt w:val="bullet"/>
      <w:lvlText w:val="o"/>
      <w:lvlJc w:val="left"/>
      <w:pPr>
        <w:tabs>
          <w:tab w:val="num" w:pos="2340"/>
        </w:tabs>
        <w:ind w:left="2340" w:hanging="360"/>
      </w:pPr>
      <w:rPr>
        <w:rFonts w:ascii="Courier New" w:hAnsi="Courier New" w:cs="Courier New" w:hint="default"/>
      </w:rPr>
    </w:lvl>
    <w:lvl w:ilvl="2">
      <w:start w:val="1"/>
      <w:numFmt w:val="lowerLetter"/>
      <w:lvlText w:val="%3."/>
      <w:lvlJc w:val="left"/>
      <w:pPr>
        <w:tabs>
          <w:tab w:val="num" w:pos="3060"/>
        </w:tabs>
        <w:ind w:left="3060" w:hanging="360"/>
      </w:pPr>
      <w:rPr>
        <w:rFonts w:hint="default"/>
      </w:rPr>
    </w:lvl>
    <w:lvl w:ilvl="3">
      <w:start w:val="1"/>
      <w:numFmt w:val="bullet"/>
      <w:lvlText w:val=""/>
      <w:lvlJc w:val="left"/>
      <w:pPr>
        <w:tabs>
          <w:tab w:val="num" w:pos="3780"/>
        </w:tabs>
        <w:ind w:left="3780" w:hanging="360"/>
      </w:pPr>
      <w:rPr>
        <w:rFonts w:ascii="Symbol" w:hAnsi="Symbol" w:hint="default"/>
        <w:color w:val="auto"/>
      </w:rPr>
    </w:lvl>
    <w:lvl w:ilvl="4" w:tentative="1">
      <w:start w:val="1"/>
      <w:numFmt w:val="bullet"/>
      <w:lvlText w:val="o"/>
      <w:lvlJc w:val="left"/>
      <w:pPr>
        <w:tabs>
          <w:tab w:val="num" w:pos="4500"/>
        </w:tabs>
        <w:ind w:left="4500" w:hanging="360"/>
      </w:pPr>
      <w:rPr>
        <w:rFonts w:ascii="Courier New" w:hAnsi="Courier New" w:cs="Courier New" w:hint="default"/>
      </w:rPr>
    </w:lvl>
    <w:lvl w:ilvl="5" w:tentative="1">
      <w:start w:val="1"/>
      <w:numFmt w:val="bullet"/>
      <w:lvlText w:val=""/>
      <w:lvlJc w:val="left"/>
      <w:pPr>
        <w:tabs>
          <w:tab w:val="num" w:pos="5220"/>
        </w:tabs>
        <w:ind w:left="5220" w:hanging="360"/>
      </w:pPr>
      <w:rPr>
        <w:rFonts w:ascii="Wingdings" w:hAnsi="Wingdings" w:hint="default"/>
      </w:rPr>
    </w:lvl>
    <w:lvl w:ilvl="6" w:tentative="1">
      <w:start w:val="1"/>
      <w:numFmt w:val="bullet"/>
      <w:lvlText w:val=""/>
      <w:lvlJc w:val="left"/>
      <w:pPr>
        <w:tabs>
          <w:tab w:val="num" w:pos="5940"/>
        </w:tabs>
        <w:ind w:left="5940" w:hanging="360"/>
      </w:pPr>
      <w:rPr>
        <w:rFonts w:ascii="Symbol" w:hAnsi="Symbol" w:hint="default"/>
      </w:rPr>
    </w:lvl>
    <w:lvl w:ilvl="7" w:tentative="1">
      <w:start w:val="1"/>
      <w:numFmt w:val="bullet"/>
      <w:lvlText w:val="o"/>
      <w:lvlJc w:val="left"/>
      <w:pPr>
        <w:tabs>
          <w:tab w:val="num" w:pos="6660"/>
        </w:tabs>
        <w:ind w:left="6660" w:hanging="360"/>
      </w:pPr>
      <w:rPr>
        <w:rFonts w:ascii="Courier New" w:hAnsi="Courier New" w:cs="Courier New" w:hint="default"/>
      </w:rPr>
    </w:lvl>
    <w:lvl w:ilvl="8" w:tentative="1">
      <w:start w:val="1"/>
      <w:numFmt w:val="bullet"/>
      <w:lvlText w:val=""/>
      <w:lvlJc w:val="left"/>
      <w:pPr>
        <w:tabs>
          <w:tab w:val="num" w:pos="7380"/>
        </w:tabs>
        <w:ind w:left="7380" w:hanging="360"/>
      </w:pPr>
      <w:rPr>
        <w:rFonts w:ascii="Wingdings" w:hAnsi="Wingdings" w:hint="default"/>
      </w:rPr>
    </w:lvl>
  </w:abstractNum>
  <w:abstractNum w:abstractNumId="4">
    <w:nsid w:val="07F97F05"/>
    <w:multiLevelType w:val="hybridMultilevel"/>
    <w:tmpl w:val="C944C52E"/>
    <w:lvl w:ilvl="0">
      <w:start w:val="1"/>
      <w:numFmt w:val="lowerLetter"/>
      <w:lvlText w:val="%1."/>
      <w:lvlJc w:val="left"/>
      <w:pPr>
        <w:tabs>
          <w:tab w:val="num" w:pos="3060"/>
        </w:tabs>
        <w:ind w:left="3060" w:hanging="360"/>
      </w:pPr>
    </w:lvl>
    <w:lvl w:ilvl="1">
      <w:start w:val="7"/>
      <w:numFmt w:val="decimal"/>
      <w:lvlText w:val="%2."/>
      <w:lvlJc w:val="left"/>
      <w:pPr>
        <w:tabs>
          <w:tab w:val="num" w:pos="3780"/>
        </w:tabs>
        <w:ind w:left="3780" w:hanging="360"/>
      </w:pPr>
      <w:rPr>
        <w:rFonts w:hint="default"/>
      </w:rPr>
    </w:lvl>
    <w:lvl w:ilvl="2" w:tentative="1">
      <w:start w:val="1"/>
      <w:numFmt w:val="lowerRoman"/>
      <w:lvlText w:val="%3."/>
      <w:lvlJc w:val="right"/>
      <w:pPr>
        <w:tabs>
          <w:tab w:val="num" w:pos="4500"/>
        </w:tabs>
        <w:ind w:left="4500" w:hanging="180"/>
      </w:pPr>
    </w:lvl>
    <w:lvl w:ilvl="3" w:tentative="1">
      <w:start w:val="1"/>
      <w:numFmt w:val="decimal"/>
      <w:lvlText w:val="%4."/>
      <w:lvlJc w:val="left"/>
      <w:pPr>
        <w:tabs>
          <w:tab w:val="num" w:pos="5220"/>
        </w:tabs>
        <w:ind w:left="5220" w:hanging="360"/>
      </w:pPr>
    </w:lvl>
    <w:lvl w:ilvl="4" w:tentative="1">
      <w:start w:val="1"/>
      <w:numFmt w:val="lowerLetter"/>
      <w:lvlText w:val="%5."/>
      <w:lvlJc w:val="left"/>
      <w:pPr>
        <w:tabs>
          <w:tab w:val="num" w:pos="5940"/>
        </w:tabs>
        <w:ind w:left="5940" w:hanging="360"/>
      </w:pPr>
    </w:lvl>
    <w:lvl w:ilvl="5" w:tentative="1">
      <w:start w:val="1"/>
      <w:numFmt w:val="lowerRoman"/>
      <w:lvlText w:val="%6."/>
      <w:lvlJc w:val="right"/>
      <w:pPr>
        <w:tabs>
          <w:tab w:val="num" w:pos="6660"/>
        </w:tabs>
        <w:ind w:left="6660" w:hanging="180"/>
      </w:pPr>
    </w:lvl>
    <w:lvl w:ilvl="6" w:tentative="1">
      <w:start w:val="1"/>
      <w:numFmt w:val="decimal"/>
      <w:lvlText w:val="%7."/>
      <w:lvlJc w:val="left"/>
      <w:pPr>
        <w:tabs>
          <w:tab w:val="num" w:pos="7380"/>
        </w:tabs>
        <w:ind w:left="7380" w:hanging="360"/>
      </w:pPr>
    </w:lvl>
    <w:lvl w:ilvl="7" w:tentative="1">
      <w:start w:val="1"/>
      <w:numFmt w:val="lowerLetter"/>
      <w:lvlText w:val="%8."/>
      <w:lvlJc w:val="left"/>
      <w:pPr>
        <w:tabs>
          <w:tab w:val="num" w:pos="8100"/>
        </w:tabs>
        <w:ind w:left="8100" w:hanging="360"/>
      </w:pPr>
    </w:lvl>
    <w:lvl w:ilvl="8" w:tentative="1">
      <w:start w:val="1"/>
      <w:numFmt w:val="lowerRoman"/>
      <w:lvlText w:val="%9."/>
      <w:lvlJc w:val="right"/>
      <w:pPr>
        <w:tabs>
          <w:tab w:val="num" w:pos="8820"/>
        </w:tabs>
        <w:ind w:left="8820" w:hanging="180"/>
      </w:pPr>
    </w:lvl>
  </w:abstractNum>
  <w:abstractNum w:abstractNumId="5">
    <w:nsid w:val="0A13321D"/>
    <w:multiLevelType w:val="multilevel"/>
    <w:tmpl w:val="4B80F1B4"/>
    <w:lvl w:ilvl="0">
      <w:start w:val="1"/>
      <w:numFmt w:val="decimal"/>
      <w:pStyle w:val="Heading1"/>
      <w:lvlText w:val="%1"/>
      <w:lvlJc w:val="left"/>
      <w:pPr>
        <w:tabs>
          <w:tab w:val="num" w:pos="936"/>
        </w:tabs>
        <w:ind w:left="936" w:hanging="432"/>
      </w:pPr>
      <w:rPr>
        <w:rFonts w:hint="default"/>
      </w:rPr>
    </w:lvl>
    <w:lvl w:ilvl="1">
      <w:start w:val="1"/>
      <w:numFmt w:val="decimal"/>
      <w:pStyle w:val="Heading2"/>
      <w:lvlText w:val="%1.%2"/>
      <w:lvlJc w:val="left"/>
      <w:pPr>
        <w:tabs>
          <w:tab w:val="num" w:pos="1080"/>
        </w:tabs>
        <w:ind w:left="1080" w:hanging="576"/>
      </w:pPr>
      <w:rPr>
        <w:rFonts w:hint="default"/>
      </w:rPr>
    </w:lvl>
    <w:lvl w:ilvl="2">
      <w:start w:val="1"/>
      <w:numFmt w:val="decimal"/>
      <w:pStyle w:val="Heading3"/>
      <w:lvlText w:val="%1.%2.%3"/>
      <w:lvlJc w:val="left"/>
      <w:pPr>
        <w:tabs>
          <w:tab w:val="num" w:pos="1224"/>
        </w:tabs>
        <w:ind w:left="1224" w:hanging="720"/>
      </w:pPr>
      <w:rPr>
        <w:rFonts w:hint="default"/>
      </w:rPr>
    </w:lvl>
    <w:lvl w:ilvl="3">
      <w:start w:val="1"/>
      <w:numFmt w:val="decimal"/>
      <w:pStyle w:val="Heading4"/>
      <w:lvlText w:val="%1.%2.%3.%4"/>
      <w:lvlJc w:val="left"/>
      <w:pPr>
        <w:tabs>
          <w:tab w:val="num" w:pos="1368"/>
        </w:tabs>
        <w:ind w:left="1368" w:hanging="864"/>
      </w:pPr>
      <w:rPr>
        <w:rFonts w:hint="default"/>
        <w:b/>
        <w:i w:val="0"/>
        <w:sz w:val="20"/>
        <w:szCs w:val="20"/>
      </w:rPr>
    </w:lvl>
    <w:lvl w:ilvl="4">
      <w:start w:val="1"/>
      <w:numFmt w:val="decimal"/>
      <w:pStyle w:val="Heading5"/>
      <w:lvlText w:val="%1.%2.%3.%4.%5"/>
      <w:lvlJc w:val="left"/>
      <w:pPr>
        <w:tabs>
          <w:tab w:val="num" w:pos="1512"/>
        </w:tabs>
        <w:ind w:left="1512" w:hanging="1008"/>
      </w:pPr>
      <w:rPr>
        <w:rFonts w:hint="default"/>
      </w:rPr>
    </w:lvl>
    <w:lvl w:ilvl="5">
      <w:start w:val="1"/>
      <w:numFmt w:val="decimal"/>
      <w:pStyle w:val="Heading6"/>
      <w:lvlText w:val="%1.%2.%3.%4.%5.%6"/>
      <w:lvlJc w:val="left"/>
      <w:pPr>
        <w:tabs>
          <w:tab w:val="num" w:pos="1656"/>
        </w:tabs>
        <w:ind w:left="1656" w:hanging="1152"/>
      </w:pPr>
      <w:rPr>
        <w:rFonts w:hint="default"/>
      </w:rPr>
    </w:lvl>
    <w:lvl w:ilvl="6">
      <w:start w:val="1"/>
      <w:numFmt w:val="decimal"/>
      <w:pStyle w:val="Heading7"/>
      <w:lvlText w:val="%1.%2.%3.%4.%5.%6.%7"/>
      <w:lvlJc w:val="left"/>
      <w:pPr>
        <w:tabs>
          <w:tab w:val="num" w:pos="1800"/>
        </w:tabs>
        <w:ind w:left="1800" w:hanging="1296"/>
      </w:pPr>
      <w:rPr>
        <w:rFonts w:hint="default"/>
      </w:rPr>
    </w:lvl>
    <w:lvl w:ilvl="7">
      <w:start w:val="1"/>
      <w:numFmt w:val="decimal"/>
      <w:pStyle w:val="Heading8"/>
      <w:lvlText w:val="%1.%2.%3.%4.%5.%6.%7.%8"/>
      <w:lvlJc w:val="left"/>
      <w:pPr>
        <w:tabs>
          <w:tab w:val="num" w:pos="1944"/>
        </w:tabs>
        <w:ind w:left="1944" w:hanging="1440"/>
      </w:pPr>
      <w:rPr>
        <w:rFonts w:hint="default"/>
      </w:rPr>
    </w:lvl>
    <w:lvl w:ilvl="8">
      <w:start w:val="1"/>
      <w:numFmt w:val="decimal"/>
      <w:pStyle w:val="Heading9"/>
      <w:lvlText w:val="%1.%2.%3.%4.%5.%6.%7.%8.%9"/>
      <w:lvlJc w:val="left"/>
      <w:pPr>
        <w:tabs>
          <w:tab w:val="num" w:pos="2088"/>
        </w:tabs>
        <w:ind w:left="2088" w:hanging="1584"/>
      </w:pPr>
      <w:rPr>
        <w:rFonts w:hint="default"/>
      </w:rPr>
    </w:lvl>
  </w:abstractNum>
  <w:abstractNum w:abstractNumId="6">
    <w:nsid w:val="155B6D8B"/>
    <w:multiLevelType w:val="hybridMultilevel"/>
    <w:tmpl w:val="941C6E78"/>
    <w:lvl w:ilvl="0">
      <w:start w:val="1"/>
      <w:numFmt w:val="lowerLetter"/>
      <w:lvlText w:val="%1."/>
      <w:lvlJc w:val="left"/>
      <w:pPr>
        <w:tabs>
          <w:tab w:val="num" w:pos="1440"/>
        </w:tabs>
        <w:ind w:left="1440" w:hanging="360"/>
      </w:pPr>
    </w:lvl>
    <w:lvl w:ilvl="1" w:tentative="1">
      <w:start w:val="1"/>
      <w:numFmt w:val="lowerLetter"/>
      <w:lvlText w:val="%2."/>
      <w:lvlJc w:val="left"/>
      <w:pPr>
        <w:tabs>
          <w:tab w:val="num" w:pos="2160"/>
        </w:tabs>
        <w:ind w:left="2160" w:hanging="360"/>
      </w:pPr>
    </w:lvl>
    <w:lvl w:ilvl="2" w:tentative="1">
      <w:start w:val="1"/>
      <w:numFmt w:val="lowerRoman"/>
      <w:lvlText w:val="%3."/>
      <w:lvlJc w:val="right"/>
      <w:pPr>
        <w:tabs>
          <w:tab w:val="num" w:pos="2880"/>
        </w:tabs>
        <w:ind w:left="2880" w:hanging="180"/>
      </w:pPr>
    </w:lvl>
    <w:lvl w:ilvl="3" w:tentative="1">
      <w:start w:val="1"/>
      <w:numFmt w:val="decimal"/>
      <w:lvlText w:val="%4."/>
      <w:lvlJc w:val="left"/>
      <w:pPr>
        <w:tabs>
          <w:tab w:val="num" w:pos="3600"/>
        </w:tabs>
        <w:ind w:left="3600" w:hanging="360"/>
      </w:pPr>
    </w:lvl>
    <w:lvl w:ilvl="4" w:tentative="1">
      <w:start w:val="1"/>
      <w:numFmt w:val="lowerLetter"/>
      <w:lvlText w:val="%5."/>
      <w:lvlJc w:val="left"/>
      <w:pPr>
        <w:tabs>
          <w:tab w:val="num" w:pos="4320"/>
        </w:tabs>
        <w:ind w:left="4320" w:hanging="360"/>
      </w:pPr>
    </w:lvl>
    <w:lvl w:ilvl="5" w:tentative="1">
      <w:start w:val="1"/>
      <w:numFmt w:val="lowerRoman"/>
      <w:lvlText w:val="%6."/>
      <w:lvlJc w:val="right"/>
      <w:pPr>
        <w:tabs>
          <w:tab w:val="num" w:pos="5040"/>
        </w:tabs>
        <w:ind w:left="5040" w:hanging="180"/>
      </w:pPr>
    </w:lvl>
    <w:lvl w:ilvl="6" w:tentative="1">
      <w:start w:val="1"/>
      <w:numFmt w:val="decimal"/>
      <w:lvlText w:val="%7."/>
      <w:lvlJc w:val="left"/>
      <w:pPr>
        <w:tabs>
          <w:tab w:val="num" w:pos="5760"/>
        </w:tabs>
        <w:ind w:left="5760" w:hanging="360"/>
      </w:pPr>
    </w:lvl>
    <w:lvl w:ilvl="7" w:tentative="1">
      <w:start w:val="1"/>
      <w:numFmt w:val="lowerLetter"/>
      <w:lvlText w:val="%8."/>
      <w:lvlJc w:val="left"/>
      <w:pPr>
        <w:tabs>
          <w:tab w:val="num" w:pos="6480"/>
        </w:tabs>
        <w:ind w:left="6480" w:hanging="360"/>
      </w:pPr>
    </w:lvl>
    <w:lvl w:ilvl="8" w:tentative="1">
      <w:start w:val="1"/>
      <w:numFmt w:val="lowerRoman"/>
      <w:lvlText w:val="%9."/>
      <w:lvlJc w:val="right"/>
      <w:pPr>
        <w:tabs>
          <w:tab w:val="num" w:pos="7200"/>
        </w:tabs>
        <w:ind w:left="7200" w:hanging="180"/>
      </w:pPr>
    </w:lvl>
  </w:abstractNum>
  <w:abstractNum w:abstractNumId="7">
    <w:nsid w:val="200F1019"/>
    <w:multiLevelType w:val="multilevel"/>
    <w:tmpl w:val="C60AF0EA"/>
    <w:lvl w:ilvl="0">
      <w:start w:val="1"/>
      <w:numFmt w:val="none"/>
      <w:lvlText w:val="%1"/>
      <w:lvlJc w:val="left"/>
      <w:pPr>
        <w:tabs>
          <w:tab w:val="num" w:pos="0"/>
        </w:tabs>
        <w:ind w:left="0" w:firstLine="0"/>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4."/>
      <w:lvlJc w:val="left"/>
      <w:pPr>
        <w:tabs>
          <w:tab w:val="num" w:pos="340"/>
        </w:tabs>
        <w:ind w:left="340" w:firstLine="0"/>
      </w:pPr>
      <w:rPr>
        <w:rFonts w:hint="default"/>
        <w:b/>
        <w:i w:val="0"/>
        <w:sz w:val="20"/>
        <w:szCs w:val="20"/>
      </w:rPr>
    </w:lvl>
    <w:lvl w:ilvl="4">
      <w:start w:val="1"/>
      <w:numFmt w:val="lowerLetter"/>
      <w:lvlText w:val="%1%5."/>
      <w:lvlJc w:val="left"/>
      <w:pPr>
        <w:tabs>
          <w:tab w:val="num" w:pos="567"/>
        </w:tabs>
        <w:ind w:left="0" w:firstLine="567"/>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8">
    <w:nsid w:val="29DE55AD"/>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9">
    <w:nsid w:val="2C6D106A"/>
    <w:multiLevelType w:val="hybridMultilevel"/>
    <w:tmpl w:val="93602E14"/>
    <w:lvl w:ilvl="0">
      <w:start w:val="1"/>
      <w:numFmt w:val="decimal"/>
      <w:lvlText w:val="%1."/>
      <w:lvlJc w:val="left"/>
      <w:pPr>
        <w:tabs>
          <w:tab w:val="num" w:pos="360"/>
        </w:tabs>
        <w:ind w:left="360" w:hanging="360"/>
      </w:pPr>
      <w:rPr>
        <w:rFonts w:hint="default"/>
      </w:rPr>
    </w:lvl>
    <w:lvl w:ilvl="1">
      <w:start w:val="1"/>
      <w:numFmt w:val="bullet"/>
      <w:lvlText w:val=""/>
      <w:lvlJc w:val="left"/>
      <w:pPr>
        <w:tabs>
          <w:tab w:val="num" w:pos="1080"/>
        </w:tabs>
        <w:ind w:left="1080" w:hanging="360"/>
      </w:pPr>
      <w:rPr>
        <w:rFonts w:ascii="Symbol" w:hAnsi="Symbol" w:hint="default"/>
      </w:rPr>
    </w:lvl>
    <w:lvl w:ilvl="2" w:tentative="1">
      <w:start w:val="1"/>
      <w:numFmt w:val="lowerRoman"/>
      <w:lvlText w:val="%3."/>
      <w:lvlJc w:val="right"/>
      <w:pPr>
        <w:tabs>
          <w:tab w:val="num" w:pos="1800"/>
        </w:tabs>
        <w:ind w:left="1800" w:hanging="180"/>
      </w:pPr>
    </w:lvl>
    <w:lvl w:ilvl="3" w:tentative="1">
      <w:start w:val="1"/>
      <w:numFmt w:val="decimal"/>
      <w:lvlText w:val="%4."/>
      <w:lvlJc w:val="left"/>
      <w:pPr>
        <w:tabs>
          <w:tab w:val="num" w:pos="2520"/>
        </w:tabs>
        <w:ind w:left="2520" w:hanging="360"/>
      </w:pPr>
    </w:lvl>
    <w:lvl w:ilvl="4" w:tentative="1">
      <w:start w:val="1"/>
      <w:numFmt w:val="lowerLetter"/>
      <w:lvlText w:val="%5."/>
      <w:lvlJc w:val="left"/>
      <w:pPr>
        <w:tabs>
          <w:tab w:val="num" w:pos="3240"/>
        </w:tabs>
        <w:ind w:left="3240" w:hanging="360"/>
      </w:pPr>
    </w:lvl>
    <w:lvl w:ilvl="5" w:tentative="1">
      <w:start w:val="1"/>
      <w:numFmt w:val="lowerRoman"/>
      <w:lvlText w:val="%6."/>
      <w:lvlJc w:val="right"/>
      <w:pPr>
        <w:tabs>
          <w:tab w:val="num" w:pos="3960"/>
        </w:tabs>
        <w:ind w:left="3960" w:hanging="180"/>
      </w:pPr>
    </w:lvl>
    <w:lvl w:ilvl="6" w:tentative="1">
      <w:start w:val="1"/>
      <w:numFmt w:val="decimal"/>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Roman"/>
      <w:lvlText w:val="%9."/>
      <w:lvlJc w:val="right"/>
      <w:pPr>
        <w:tabs>
          <w:tab w:val="num" w:pos="6120"/>
        </w:tabs>
        <w:ind w:left="6120" w:hanging="180"/>
      </w:pPr>
    </w:lvl>
  </w:abstractNum>
  <w:abstractNum w:abstractNumId="10">
    <w:nsid w:val="2CED462D"/>
    <w:multiLevelType w:val="multilevel"/>
    <w:tmpl w:val="106A2688"/>
    <w:lvl w:ilvl="0">
      <w:start w:val="1"/>
      <w:numFmt w:val="none"/>
      <w:lvlText w:val="%1"/>
      <w:lvlJc w:val="left"/>
      <w:pPr>
        <w:tabs>
          <w:tab w:val="num" w:pos="0"/>
        </w:tabs>
        <w:ind w:left="0" w:firstLine="0"/>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4."/>
      <w:lvlJc w:val="left"/>
      <w:pPr>
        <w:tabs>
          <w:tab w:val="num" w:pos="340"/>
        </w:tabs>
        <w:ind w:left="340" w:firstLine="0"/>
      </w:pPr>
      <w:rPr>
        <w:rFonts w:hint="default"/>
        <w:b/>
        <w:i w:val="0"/>
        <w:sz w:val="20"/>
        <w:szCs w:val="20"/>
      </w:rPr>
    </w:lvl>
    <w:lvl w:ilvl="4">
      <w:start w:val="1"/>
      <w:numFmt w:val="lowerLetter"/>
      <w:lvlText w:val="%1%5."/>
      <w:lvlJc w:val="left"/>
      <w:pPr>
        <w:tabs>
          <w:tab w:val="num" w:pos="0"/>
        </w:tabs>
        <w:ind w:left="0" w:firstLine="567"/>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1">
    <w:nsid w:val="2EC8694B"/>
    <w:multiLevelType w:val="multilevel"/>
    <w:tmpl w:val="B65EAAD6"/>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lowerLetter"/>
      <w:lvlText w:val="%3."/>
      <w:lvlJc w:val="left"/>
      <w:pPr>
        <w:tabs>
          <w:tab w:val="num" w:pos="1080"/>
        </w:tabs>
        <w:ind w:left="1080" w:hanging="360"/>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2">
    <w:nsid w:val="43B06977"/>
    <w:multiLevelType w:val="multilevel"/>
    <w:tmpl w:val="05B66266"/>
    <w:lvl w:ilvl="0">
      <w:start w:val="1"/>
      <w:numFmt w:val="none"/>
      <w:lvlText w:val="%1"/>
      <w:lvlJc w:val="left"/>
      <w:pPr>
        <w:tabs>
          <w:tab w:val="num" w:pos="0"/>
        </w:tabs>
        <w:ind w:left="0" w:firstLine="0"/>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4."/>
      <w:lvlJc w:val="left"/>
      <w:pPr>
        <w:tabs>
          <w:tab w:val="num" w:pos="340"/>
        </w:tabs>
        <w:ind w:left="340" w:firstLine="0"/>
      </w:pPr>
      <w:rPr>
        <w:rFonts w:hint="default"/>
        <w:b/>
        <w:i w:val="0"/>
        <w:sz w:val="20"/>
        <w:szCs w:val="20"/>
      </w:rPr>
    </w:lvl>
    <w:lvl w:ilvl="4">
      <w:start w:val="1"/>
      <w:numFmt w:val="lowerLetter"/>
      <w:lvlText w:val="%1%5."/>
      <w:lvlJc w:val="left"/>
      <w:pPr>
        <w:tabs>
          <w:tab w:val="num" w:pos="0"/>
        </w:tabs>
        <w:ind w:left="567" w:firstLine="0"/>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3">
    <w:nsid w:val="4ABD67D4"/>
    <w:multiLevelType w:val="hybridMultilevel"/>
    <w:tmpl w:val="3404D630"/>
    <w:lvl w:ilvl="0">
      <w:start w:val="1"/>
      <w:numFmt w:val="decimal"/>
      <w:lvlText w:val="%1."/>
      <w:lvlJc w:val="left"/>
      <w:pPr>
        <w:tabs>
          <w:tab w:val="num" w:pos="360"/>
        </w:tabs>
        <w:ind w:left="360" w:hanging="360"/>
      </w:pPr>
    </w:lvl>
    <w:lvl w:ilvl="1">
      <w:start w:val="1"/>
      <w:numFmt w:val="lowerLetter"/>
      <w:lvlText w:val="%2."/>
      <w:lvlJc w:val="left"/>
      <w:pPr>
        <w:tabs>
          <w:tab w:val="num" w:pos="1080"/>
        </w:tabs>
        <w:ind w:left="1080" w:hanging="360"/>
      </w:pPr>
    </w:lvl>
    <w:lvl w:ilvl="2" w:tentative="1">
      <w:start w:val="1"/>
      <w:numFmt w:val="lowerRoman"/>
      <w:lvlText w:val="%3."/>
      <w:lvlJc w:val="right"/>
      <w:pPr>
        <w:tabs>
          <w:tab w:val="num" w:pos="1800"/>
        </w:tabs>
        <w:ind w:left="1800" w:hanging="180"/>
      </w:pPr>
    </w:lvl>
    <w:lvl w:ilvl="3" w:tentative="1">
      <w:start w:val="1"/>
      <w:numFmt w:val="decimal"/>
      <w:lvlText w:val="%4."/>
      <w:lvlJc w:val="left"/>
      <w:pPr>
        <w:tabs>
          <w:tab w:val="num" w:pos="2520"/>
        </w:tabs>
        <w:ind w:left="2520" w:hanging="360"/>
      </w:pPr>
    </w:lvl>
    <w:lvl w:ilvl="4" w:tentative="1">
      <w:start w:val="1"/>
      <w:numFmt w:val="lowerLetter"/>
      <w:lvlText w:val="%5."/>
      <w:lvlJc w:val="left"/>
      <w:pPr>
        <w:tabs>
          <w:tab w:val="num" w:pos="3240"/>
        </w:tabs>
        <w:ind w:left="3240" w:hanging="360"/>
      </w:pPr>
    </w:lvl>
    <w:lvl w:ilvl="5" w:tentative="1">
      <w:start w:val="1"/>
      <w:numFmt w:val="lowerRoman"/>
      <w:lvlText w:val="%6."/>
      <w:lvlJc w:val="right"/>
      <w:pPr>
        <w:tabs>
          <w:tab w:val="num" w:pos="3960"/>
        </w:tabs>
        <w:ind w:left="3960" w:hanging="180"/>
      </w:pPr>
    </w:lvl>
    <w:lvl w:ilvl="6" w:tentative="1">
      <w:start w:val="1"/>
      <w:numFmt w:val="decimal"/>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Roman"/>
      <w:lvlText w:val="%9."/>
      <w:lvlJc w:val="right"/>
      <w:pPr>
        <w:tabs>
          <w:tab w:val="num" w:pos="6120"/>
        </w:tabs>
        <w:ind w:left="6120" w:hanging="180"/>
      </w:pPr>
    </w:lvl>
  </w:abstractNum>
  <w:abstractNum w:abstractNumId="14">
    <w:nsid w:val="50620D54"/>
    <w:multiLevelType w:val="hybridMultilevel"/>
    <w:tmpl w:val="14DEF298"/>
    <w:lvl w:ilvl="0">
      <w:start w:val="1"/>
      <w:numFmt w:val="lowerLetter"/>
      <w:lvlText w:val="%1."/>
      <w:lvlJc w:val="left"/>
      <w:pPr>
        <w:tabs>
          <w:tab w:val="num" w:pos="1080"/>
        </w:tabs>
        <w:ind w:left="1080" w:hanging="360"/>
      </w:pPr>
    </w:lvl>
    <w:lvl w:ilvl="1" w:tentative="1">
      <w:start w:val="1"/>
      <w:numFmt w:val="lowerLetter"/>
      <w:lvlText w:val="%2."/>
      <w:lvlJc w:val="left"/>
      <w:pPr>
        <w:tabs>
          <w:tab w:val="num" w:pos="1800"/>
        </w:tabs>
        <w:ind w:left="1800" w:hanging="360"/>
      </w:pPr>
    </w:lvl>
    <w:lvl w:ilvl="2" w:tentative="1">
      <w:start w:val="1"/>
      <w:numFmt w:val="lowerRoman"/>
      <w:lvlText w:val="%3."/>
      <w:lvlJc w:val="right"/>
      <w:pPr>
        <w:tabs>
          <w:tab w:val="num" w:pos="2520"/>
        </w:tabs>
        <w:ind w:left="2520" w:hanging="180"/>
      </w:pPr>
    </w:lvl>
    <w:lvl w:ilvl="3" w:tentative="1">
      <w:start w:val="1"/>
      <w:numFmt w:val="decimal"/>
      <w:lvlText w:val="%4."/>
      <w:lvlJc w:val="left"/>
      <w:pPr>
        <w:tabs>
          <w:tab w:val="num" w:pos="3240"/>
        </w:tabs>
        <w:ind w:left="3240" w:hanging="360"/>
      </w:pPr>
    </w:lvl>
    <w:lvl w:ilvl="4" w:tentative="1">
      <w:start w:val="1"/>
      <w:numFmt w:val="lowerLetter"/>
      <w:lvlText w:val="%5."/>
      <w:lvlJc w:val="left"/>
      <w:pPr>
        <w:tabs>
          <w:tab w:val="num" w:pos="3960"/>
        </w:tabs>
        <w:ind w:left="3960" w:hanging="360"/>
      </w:pPr>
    </w:lvl>
    <w:lvl w:ilvl="5" w:tentative="1">
      <w:start w:val="1"/>
      <w:numFmt w:val="lowerRoman"/>
      <w:lvlText w:val="%6."/>
      <w:lvlJc w:val="right"/>
      <w:pPr>
        <w:tabs>
          <w:tab w:val="num" w:pos="4680"/>
        </w:tabs>
        <w:ind w:left="4680" w:hanging="180"/>
      </w:pPr>
    </w:lvl>
    <w:lvl w:ilvl="6" w:tentative="1">
      <w:start w:val="1"/>
      <w:numFmt w:val="decimal"/>
      <w:lvlText w:val="%7."/>
      <w:lvlJc w:val="left"/>
      <w:pPr>
        <w:tabs>
          <w:tab w:val="num" w:pos="5400"/>
        </w:tabs>
        <w:ind w:left="5400" w:hanging="360"/>
      </w:pPr>
    </w:lvl>
    <w:lvl w:ilvl="7" w:tentative="1">
      <w:start w:val="1"/>
      <w:numFmt w:val="lowerLetter"/>
      <w:lvlText w:val="%8."/>
      <w:lvlJc w:val="left"/>
      <w:pPr>
        <w:tabs>
          <w:tab w:val="num" w:pos="6120"/>
        </w:tabs>
        <w:ind w:left="6120" w:hanging="360"/>
      </w:pPr>
    </w:lvl>
    <w:lvl w:ilvl="8" w:tentative="1">
      <w:start w:val="1"/>
      <w:numFmt w:val="lowerRoman"/>
      <w:lvlText w:val="%9."/>
      <w:lvlJc w:val="right"/>
      <w:pPr>
        <w:tabs>
          <w:tab w:val="num" w:pos="6840"/>
        </w:tabs>
        <w:ind w:left="6840" w:hanging="180"/>
      </w:pPr>
    </w:lvl>
  </w:abstractNum>
  <w:abstractNum w:abstractNumId="15">
    <w:nsid w:val="515A21B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53BF00B8"/>
    <w:multiLevelType w:val="hybridMultilevel"/>
    <w:tmpl w:val="078A782A"/>
    <w:lvl w:ilvl="0">
      <w:start w:val="1"/>
      <w:numFmt w:val="decimal"/>
      <w:lvlText w:val="%1."/>
      <w:lvlJc w:val="left"/>
      <w:pPr>
        <w:tabs>
          <w:tab w:val="num" w:pos="720"/>
        </w:tabs>
        <w:ind w:left="720" w:hanging="360"/>
      </w:pPr>
    </w:lvl>
    <w:lvl w:ilvl="1">
      <w:start w:val="1"/>
      <w:numFmt w:val="lowerLetter"/>
      <w:lvlText w:val="%2."/>
      <w:lvlJc w:val="left"/>
      <w:pPr>
        <w:tabs>
          <w:tab w:val="num" w:pos="1065"/>
        </w:tabs>
        <w:ind w:left="1065" w:hanging="360"/>
      </w:pPr>
    </w:lvl>
    <w:lvl w:ilvl="2">
      <w:start w:val="0"/>
      <w:numFmt w:val="none"/>
      <w:lvlJc w:val="left"/>
      <w:pPr>
        <w:tabs>
          <w:tab w:val="num" w:pos="360"/>
        </w:tabs>
      </w:pPr>
    </w:lvl>
    <w:lvl w:ilvl="3">
      <w:start w:val="0"/>
      <w:numFmt w:val="none"/>
      <w:lvlJc w:val="left"/>
      <w:pPr>
        <w:tabs>
          <w:tab w:val="num" w:pos="360"/>
        </w:tabs>
      </w:pPr>
    </w:lvl>
    <w:lvl w:ilvl="4">
      <w:start w:val="0"/>
      <w:numFmt w:val="none"/>
      <w:lvlJc w:val="left"/>
      <w:pPr>
        <w:tabs>
          <w:tab w:val="num" w:pos="360"/>
        </w:tabs>
      </w:pPr>
    </w:lvl>
    <w:lvl w:ilvl="5">
      <w:start w:val="0"/>
      <w:numFmt w:val="none"/>
      <w:lvlJc w:val="left"/>
      <w:pPr>
        <w:tabs>
          <w:tab w:val="num" w:pos="360"/>
        </w:tabs>
      </w:pPr>
    </w:lvl>
    <w:lvl w:ilvl="6">
      <w:start w:val="0"/>
      <w:numFmt w:val="none"/>
      <w:lvlJc w:val="left"/>
      <w:pPr>
        <w:tabs>
          <w:tab w:val="num" w:pos="360"/>
        </w:tabs>
      </w:pPr>
    </w:lvl>
    <w:lvl w:ilvl="7">
      <w:start w:val="0"/>
      <w:numFmt w:val="none"/>
      <w:lvlJc w:val="left"/>
      <w:pPr>
        <w:tabs>
          <w:tab w:val="num" w:pos="360"/>
        </w:tabs>
      </w:pPr>
    </w:lvl>
    <w:lvl w:ilvl="8">
      <w:start w:val="0"/>
      <w:numFmt w:val="none"/>
      <w:lvlJc w:val="left"/>
      <w:pPr>
        <w:tabs>
          <w:tab w:val="num" w:pos="360"/>
        </w:tabs>
      </w:pPr>
    </w:lvl>
  </w:abstractNum>
  <w:abstractNum w:abstractNumId="17">
    <w:nsid w:val="56F82B40"/>
    <w:multiLevelType w:val="hybridMultilevel"/>
    <w:tmpl w:val="F4CE1682"/>
    <w:lvl w:ilvl="0">
      <w:start w:val="1"/>
      <w:numFmt w:val="lowerLetter"/>
      <w:lvlText w:val="%1."/>
      <w:lvlJc w:val="left"/>
      <w:pPr>
        <w:tabs>
          <w:tab w:val="num" w:pos="1080"/>
        </w:tabs>
        <w:ind w:left="1080" w:hanging="360"/>
      </w:pPr>
    </w:lvl>
    <w:lvl w:ilvl="1" w:tentative="1">
      <w:start w:val="1"/>
      <w:numFmt w:val="lowerLetter"/>
      <w:lvlText w:val="%2."/>
      <w:lvlJc w:val="left"/>
      <w:pPr>
        <w:tabs>
          <w:tab w:val="num" w:pos="1800"/>
        </w:tabs>
        <w:ind w:left="1800" w:hanging="360"/>
      </w:pPr>
    </w:lvl>
    <w:lvl w:ilvl="2" w:tentative="1">
      <w:start w:val="1"/>
      <w:numFmt w:val="lowerRoman"/>
      <w:lvlText w:val="%3."/>
      <w:lvlJc w:val="right"/>
      <w:pPr>
        <w:tabs>
          <w:tab w:val="num" w:pos="2520"/>
        </w:tabs>
        <w:ind w:left="2520" w:hanging="180"/>
      </w:pPr>
    </w:lvl>
    <w:lvl w:ilvl="3" w:tentative="1">
      <w:start w:val="1"/>
      <w:numFmt w:val="decimal"/>
      <w:lvlText w:val="%4."/>
      <w:lvlJc w:val="left"/>
      <w:pPr>
        <w:tabs>
          <w:tab w:val="num" w:pos="3240"/>
        </w:tabs>
        <w:ind w:left="3240" w:hanging="360"/>
      </w:pPr>
    </w:lvl>
    <w:lvl w:ilvl="4" w:tentative="1">
      <w:start w:val="1"/>
      <w:numFmt w:val="lowerLetter"/>
      <w:lvlText w:val="%5."/>
      <w:lvlJc w:val="left"/>
      <w:pPr>
        <w:tabs>
          <w:tab w:val="num" w:pos="3960"/>
        </w:tabs>
        <w:ind w:left="3960" w:hanging="360"/>
      </w:pPr>
    </w:lvl>
    <w:lvl w:ilvl="5" w:tentative="1">
      <w:start w:val="1"/>
      <w:numFmt w:val="lowerRoman"/>
      <w:lvlText w:val="%6."/>
      <w:lvlJc w:val="right"/>
      <w:pPr>
        <w:tabs>
          <w:tab w:val="num" w:pos="4680"/>
        </w:tabs>
        <w:ind w:left="4680" w:hanging="180"/>
      </w:pPr>
    </w:lvl>
    <w:lvl w:ilvl="6" w:tentative="1">
      <w:start w:val="1"/>
      <w:numFmt w:val="decimal"/>
      <w:lvlText w:val="%7."/>
      <w:lvlJc w:val="left"/>
      <w:pPr>
        <w:tabs>
          <w:tab w:val="num" w:pos="5400"/>
        </w:tabs>
        <w:ind w:left="5400" w:hanging="360"/>
      </w:pPr>
    </w:lvl>
    <w:lvl w:ilvl="7" w:tentative="1">
      <w:start w:val="1"/>
      <w:numFmt w:val="lowerLetter"/>
      <w:lvlText w:val="%8."/>
      <w:lvlJc w:val="left"/>
      <w:pPr>
        <w:tabs>
          <w:tab w:val="num" w:pos="6120"/>
        </w:tabs>
        <w:ind w:left="6120" w:hanging="360"/>
      </w:pPr>
    </w:lvl>
    <w:lvl w:ilvl="8" w:tentative="1">
      <w:start w:val="1"/>
      <w:numFmt w:val="lowerRoman"/>
      <w:lvlText w:val="%9."/>
      <w:lvlJc w:val="right"/>
      <w:pPr>
        <w:tabs>
          <w:tab w:val="num" w:pos="6840"/>
        </w:tabs>
        <w:ind w:left="6840" w:hanging="180"/>
      </w:pPr>
    </w:lvl>
  </w:abstractNum>
  <w:abstractNum w:abstractNumId="18">
    <w:nsid w:val="5D0B4653"/>
    <w:multiLevelType w:val="multilevel"/>
    <w:tmpl w:val="BE369C94"/>
    <w:lvl w:ilvl="0">
      <w:start w:val="1"/>
      <w:numFmt w:val="none"/>
      <w:lvlJc w:val="left"/>
      <w:pPr>
        <w:tabs>
          <w:tab w:val="num" w:pos="0"/>
        </w:tabs>
        <w:ind w:left="0" w:firstLine="0"/>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4."/>
      <w:lvlJc w:val="left"/>
      <w:pPr>
        <w:tabs>
          <w:tab w:val="num" w:pos="340"/>
        </w:tabs>
        <w:ind w:left="680" w:hanging="340"/>
      </w:pPr>
      <w:rPr>
        <w:rFonts w:hint="default"/>
        <w:b/>
        <w:i w:val="0"/>
        <w:sz w:val="20"/>
        <w:szCs w:val="20"/>
      </w:rPr>
    </w:lvl>
    <w:lvl w:ilvl="4">
      <w:start w:val="1"/>
      <w:numFmt w:val="lowerLetter"/>
      <w:lvlText w:val="%1%5."/>
      <w:lvlJc w:val="left"/>
      <w:pPr>
        <w:tabs>
          <w:tab w:val="num" w:pos="0"/>
        </w:tabs>
        <w:ind w:left="567" w:firstLine="0"/>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9">
    <w:nsid w:val="5D734B9E"/>
    <w:multiLevelType w:val="hybridMultilevel"/>
    <w:tmpl w:val="EB9A0854"/>
    <w:lvl w:ilvl="0">
      <w:start w:val="1"/>
      <w:numFmt w:val="bullet"/>
      <w:lvlText w:val="•"/>
      <w:lvlJc w:val="left"/>
      <w:pPr>
        <w:tabs>
          <w:tab w:val="num" w:pos="720"/>
        </w:tabs>
        <w:ind w:left="720" w:hanging="360"/>
      </w:pPr>
      <w:rPr>
        <w:rFonts w:ascii="Verdana" w:hAnsi="Verdana" w:hint="default"/>
      </w:rPr>
    </w:lvl>
    <w:lvl w:ilvl="1">
      <w:start w:val="1"/>
      <w:numFmt w:val="bullet"/>
      <w:lvlText w:val=""/>
      <w:lvlJc w:val="left"/>
      <w:pPr>
        <w:tabs>
          <w:tab w:val="num" w:pos="1440"/>
        </w:tabs>
        <w:ind w:left="1440" w:hanging="360"/>
      </w:pPr>
      <w:rPr>
        <w:rFonts w:ascii="Symbol" w:hAnsi="Symbol" w:hint="default"/>
      </w:rPr>
    </w:lvl>
    <w:lvl w:ilvl="2" w:tentative="1">
      <w:start w:val="1"/>
      <w:numFmt w:val="bullet"/>
      <w:lvlText w:val="•"/>
      <w:lvlJc w:val="left"/>
      <w:pPr>
        <w:tabs>
          <w:tab w:val="num" w:pos="2160"/>
        </w:tabs>
        <w:ind w:left="2160" w:hanging="360"/>
      </w:pPr>
      <w:rPr>
        <w:rFonts w:ascii="Verdana" w:hAnsi="Verdana" w:hint="default"/>
      </w:rPr>
    </w:lvl>
    <w:lvl w:ilvl="3" w:tentative="1">
      <w:start w:val="1"/>
      <w:numFmt w:val="bullet"/>
      <w:lvlText w:val="•"/>
      <w:lvlJc w:val="left"/>
      <w:pPr>
        <w:tabs>
          <w:tab w:val="num" w:pos="2880"/>
        </w:tabs>
        <w:ind w:left="2880" w:hanging="360"/>
      </w:pPr>
      <w:rPr>
        <w:rFonts w:ascii="Verdana" w:hAnsi="Verdana" w:hint="default"/>
      </w:rPr>
    </w:lvl>
    <w:lvl w:ilvl="4" w:tentative="1">
      <w:start w:val="1"/>
      <w:numFmt w:val="bullet"/>
      <w:lvlText w:val="•"/>
      <w:lvlJc w:val="left"/>
      <w:pPr>
        <w:tabs>
          <w:tab w:val="num" w:pos="3600"/>
        </w:tabs>
        <w:ind w:left="3600" w:hanging="360"/>
      </w:pPr>
      <w:rPr>
        <w:rFonts w:ascii="Verdana" w:hAnsi="Verdana" w:hint="default"/>
      </w:rPr>
    </w:lvl>
    <w:lvl w:ilvl="5" w:tentative="1">
      <w:start w:val="1"/>
      <w:numFmt w:val="bullet"/>
      <w:lvlText w:val="•"/>
      <w:lvlJc w:val="left"/>
      <w:pPr>
        <w:tabs>
          <w:tab w:val="num" w:pos="4320"/>
        </w:tabs>
        <w:ind w:left="4320" w:hanging="360"/>
      </w:pPr>
      <w:rPr>
        <w:rFonts w:ascii="Verdana" w:hAnsi="Verdana" w:hint="default"/>
      </w:rPr>
    </w:lvl>
    <w:lvl w:ilvl="6" w:tentative="1">
      <w:start w:val="1"/>
      <w:numFmt w:val="bullet"/>
      <w:lvlText w:val="•"/>
      <w:lvlJc w:val="left"/>
      <w:pPr>
        <w:tabs>
          <w:tab w:val="num" w:pos="5040"/>
        </w:tabs>
        <w:ind w:left="5040" w:hanging="360"/>
      </w:pPr>
      <w:rPr>
        <w:rFonts w:ascii="Verdana" w:hAnsi="Verdana" w:hint="default"/>
      </w:rPr>
    </w:lvl>
    <w:lvl w:ilvl="7" w:tentative="1">
      <w:start w:val="1"/>
      <w:numFmt w:val="bullet"/>
      <w:lvlText w:val="•"/>
      <w:lvlJc w:val="left"/>
      <w:pPr>
        <w:tabs>
          <w:tab w:val="num" w:pos="5760"/>
        </w:tabs>
        <w:ind w:left="5760" w:hanging="360"/>
      </w:pPr>
      <w:rPr>
        <w:rFonts w:ascii="Verdana" w:hAnsi="Verdana" w:hint="default"/>
      </w:rPr>
    </w:lvl>
    <w:lvl w:ilvl="8" w:tentative="1">
      <w:start w:val="1"/>
      <w:numFmt w:val="bullet"/>
      <w:lvlText w:val="•"/>
      <w:lvlJc w:val="left"/>
      <w:pPr>
        <w:tabs>
          <w:tab w:val="num" w:pos="6480"/>
        </w:tabs>
        <w:ind w:left="6480" w:hanging="360"/>
      </w:pPr>
      <w:rPr>
        <w:rFonts w:ascii="Verdana" w:hAnsi="Verdana" w:hint="default"/>
      </w:rPr>
    </w:lvl>
  </w:abstractNum>
  <w:abstractNum w:abstractNumId="20">
    <w:nsid w:val="5FB85FC1"/>
    <w:multiLevelType w:val="hybridMultilevel"/>
    <w:tmpl w:val="D430BECC"/>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decimal"/>
      <w:lvlText w:val="%3."/>
      <w:lvlJc w:val="left"/>
      <w:pPr>
        <w:tabs>
          <w:tab w:val="num" w:pos="2340"/>
        </w:tabs>
        <w:ind w:left="2340" w:hanging="360"/>
      </w:pPr>
    </w:lvl>
    <w:lvl w:ilvl="3">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1">
    <w:nsid w:val="649C7C3A"/>
    <w:multiLevelType w:val="hybridMultilevel"/>
    <w:tmpl w:val="49EA1772"/>
    <w:lvl w:ilvl="0">
      <w:start w:val="1"/>
      <w:numFmt w:val="lowerLetter"/>
      <w:lvlText w:val="%1."/>
      <w:lvlJc w:val="left"/>
      <w:pPr>
        <w:tabs>
          <w:tab w:val="num" w:pos="1080"/>
        </w:tabs>
        <w:ind w:left="1080" w:hanging="360"/>
      </w:pPr>
    </w:lvl>
    <w:lvl w:ilvl="1">
      <w:start w:val="1"/>
      <w:numFmt w:val="decimal"/>
      <w:lvlText w:val="%2."/>
      <w:lvlJc w:val="left"/>
      <w:pPr>
        <w:tabs>
          <w:tab w:val="num" w:pos="1800"/>
        </w:tabs>
        <w:ind w:left="1800" w:hanging="360"/>
      </w:pPr>
    </w:lvl>
    <w:lvl w:ilvl="2" w:tentative="1">
      <w:start w:val="1"/>
      <w:numFmt w:val="lowerRoman"/>
      <w:lvlText w:val="%3."/>
      <w:lvlJc w:val="right"/>
      <w:pPr>
        <w:tabs>
          <w:tab w:val="num" w:pos="2520"/>
        </w:tabs>
        <w:ind w:left="2520" w:hanging="180"/>
      </w:pPr>
    </w:lvl>
    <w:lvl w:ilvl="3" w:tentative="1">
      <w:start w:val="1"/>
      <w:numFmt w:val="decimal"/>
      <w:lvlText w:val="%4."/>
      <w:lvlJc w:val="left"/>
      <w:pPr>
        <w:tabs>
          <w:tab w:val="num" w:pos="3240"/>
        </w:tabs>
        <w:ind w:left="3240" w:hanging="360"/>
      </w:pPr>
    </w:lvl>
    <w:lvl w:ilvl="4" w:tentative="1">
      <w:start w:val="1"/>
      <w:numFmt w:val="lowerLetter"/>
      <w:lvlText w:val="%5."/>
      <w:lvlJc w:val="left"/>
      <w:pPr>
        <w:tabs>
          <w:tab w:val="num" w:pos="3960"/>
        </w:tabs>
        <w:ind w:left="3960" w:hanging="360"/>
      </w:pPr>
    </w:lvl>
    <w:lvl w:ilvl="5" w:tentative="1">
      <w:start w:val="1"/>
      <w:numFmt w:val="lowerRoman"/>
      <w:lvlText w:val="%6."/>
      <w:lvlJc w:val="right"/>
      <w:pPr>
        <w:tabs>
          <w:tab w:val="num" w:pos="4680"/>
        </w:tabs>
        <w:ind w:left="4680" w:hanging="180"/>
      </w:pPr>
    </w:lvl>
    <w:lvl w:ilvl="6" w:tentative="1">
      <w:start w:val="1"/>
      <w:numFmt w:val="decimal"/>
      <w:lvlText w:val="%7."/>
      <w:lvlJc w:val="left"/>
      <w:pPr>
        <w:tabs>
          <w:tab w:val="num" w:pos="5400"/>
        </w:tabs>
        <w:ind w:left="5400" w:hanging="360"/>
      </w:pPr>
    </w:lvl>
    <w:lvl w:ilvl="7" w:tentative="1">
      <w:start w:val="1"/>
      <w:numFmt w:val="lowerLetter"/>
      <w:lvlText w:val="%8."/>
      <w:lvlJc w:val="left"/>
      <w:pPr>
        <w:tabs>
          <w:tab w:val="num" w:pos="6120"/>
        </w:tabs>
        <w:ind w:left="6120" w:hanging="360"/>
      </w:pPr>
    </w:lvl>
    <w:lvl w:ilvl="8" w:tentative="1">
      <w:start w:val="1"/>
      <w:numFmt w:val="lowerRoman"/>
      <w:lvlText w:val="%9."/>
      <w:lvlJc w:val="right"/>
      <w:pPr>
        <w:tabs>
          <w:tab w:val="num" w:pos="6840"/>
        </w:tabs>
        <w:ind w:left="6840" w:hanging="180"/>
      </w:pPr>
    </w:lvl>
  </w:abstractNum>
  <w:abstractNum w:abstractNumId="22">
    <w:nsid w:val="69604AF8"/>
    <w:multiLevelType w:val="hybridMultilevel"/>
    <w:tmpl w:val="46F23212"/>
    <w:lvl w:ilvl="0">
      <w:start w:val="1"/>
      <w:numFmt w:val="decimal"/>
      <w:lvlText w:val="%1."/>
      <w:lvlJc w:val="left"/>
      <w:pPr>
        <w:tabs>
          <w:tab w:val="num" w:pos="360"/>
        </w:tabs>
        <w:ind w:left="360" w:hanging="360"/>
      </w:pPr>
    </w:lvl>
    <w:lvl w:ilvl="1">
      <w:start w:val="1"/>
      <w:numFmt w:val="lowerLetter"/>
      <w:lvlText w:val="%2."/>
      <w:lvlJc w:val="left"/>
      <w:pPr>
        <w:tabs>
          <w:tab w:val="num" w:pos="1080"/>
        </w:tabs>
        <w:ind w:left="1080" w:hanging="360"/>
      </w:pPr>
    </w:lvl>
    <w:lvl w:ilvl="2" w:tentative="1">
      <w:start w:val="1"/>
      <w:numFmt w:val="lowerRoman"/>
      <w:lvlText w:val="%3."/>
      <w:lvlJc w:val="right"/>
      <w:pPr>
        <w:tabs>
          <w:tab w:val="num" w:pos="1800"/>
        </w:tabs>
        <w:ind w:left="1800" w:hanging="180"/>
      </w:pPr>
    </w:lvl>
    <w:lvl w:ilvl="3" w:tentative="1">
      <w:start w:val="1"/>
      <w:numFmt w:val="decimal"/>
      <w:lvlText w:val="%4."/>
      <w:lvlJc w:val="left"/>
      <w:pPr>
        <w:tabs>
          <w:tab w:val="num" w:pos="2520"/>
        </w:tabs>
        <w:ind w:left="2520" w:hanging="360"/>
      </w:pPr>
    </w:lvl>
    <w:lvl w:ilvl="4" w:tentative="1">
      <w:start w:val="1"/>
      <w:numFmt w:val="lowerLetter"/>
      <w:lvlText w:val="%5."/>
      <w:lvlJc w:val="left"/>
      <w:pPr>
        <w:tabs>
          <w:tab w:val="num" w:pos="3240"/>
        </w:tabs>
        <w:ind w:left="3240" w:hanging="360"/>
      </w:pPr>
    </w:lvl>
    <w:lvl w:ilvl="5" w:tentative="1">
      <w:start w:val="1"/>
      <w:numFmt w:val="lowerRoman"/>
      <w:lvlText w:val="%6."/>
      <w:lvlJc w:val="right"/>
      <w:pPr>
        <w:tabs>
          <w:tab w:val="num" w:pos="3960"/>
        </w:tabs>
        <w:ind w:left="3960" w:hanging="180"/>
      </w:pPr>
    </w:lvl>
    <w:lvl w:ilvl="6" w:tentative="1">
      <w:start w:val="1"/>
      <w:numFmt w:val="decimal"/>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Roman"/>
      <w:lvlText w:val="%9."/>
      <w:lvlJc w:val="right"/>
      <w:pPr>
        <w:tabs>
          <w:tab w:val="num" w:pos="6120"/>
        </w:tabs>
        <w:ind w:left="6120" w:hanging="180"/>
      </w:pPr>
    </w:lvl>
  </w:abstractNum>
  <w:abstractNum w:abstractNumId="23">
    <w:nsid w:val="6A0E58DD"/>
    <w:multiLevelType w:val="hybridMultilevel"/>
    <w:tmpl w:val="FE7449E6"/>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cs="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4">
    <w:nsid w:val="6A411E3C"/>
    <w:multiLevelType w:val="multilevel"/>
    <w:tmpl w:val="0F742404"/>
    <w:styleLink w:val="Lista"/>
    <w:lvl w:ilvl="0">
      <w:start w:val="1"/>
      <w:numFmt w:val="bullet"/>
      <w:lvlText w:val=""/>
      <w:lvlJc w:val="left"/>
      <w:pPr>
        <w:tabs>
          <w:tab w:val="num" w:pos="1080"/>
        </w:tabs>
        <w:ind w:left="1080" w:hanging="360"/>
      </w:pPr>
      <w:rPr>
        <w:rFonts w:ascii="Symbol" w:hAnsi="Symbol"/>
      </w:rPr>
    </w:lvl>
    <w:lvl w:ilvl="1">
      <w:start w:val="1"/>
      <w:numFmt w:val="bullet"/>
      <w:lvlText w:val="o"/>
      <w:lvlJc w:val="left"/>
      <w:pPr>
        <w:tabs>
          <w:tab w:val="num" w:pos="1800"/>
        </w:tabs>
        <w:ind w:left="1800" w:hanging="360"/>
      </w:pPr>
      <w:rPr>
        <w:rFonts w:ascii="Courier New" w:hAnsi="Courier New" w:cs="Courier New" w:hint="default"/>
      </w:rPr>
    </w:lvl>
    <w:lvl w:ilvl="2">
      <w:start w:val="1"/>
      <w:numFmt w:val="bullet"/>
      <w:lvlText w:val=""/>
      <w:lvlJc w:val="left"/>
      <w:pPr>
        <w:tabs>
          <w:tab w:val="num" w:pos="2520"/>
        </w:tabs>
        <w:ind w:left="2520" w:hanging="360"/>
      </w:pPr>
      <w:rPr>
        <w:rFonts w:ascii="Wingdings" w:hAnsi="Wingdings" w:hint="default"/>
      </w:rPr>
    </w:lvl>
    <w:lvl w:ilvl="3">
      <w:start w:val="1"/>
      <w:numFmt w:val="bullet"/>
      <w:lvlText w:val=""/>
      <w:lvlJc w:val="left"/>
      <w:pPr>
        <w:tabs>
          <w:tab w:val="num" w:pos="3240"/>
        </w:tabs>
        <w:ind w:left="3240" w:hanging="360"/>
      </w:pPr>
      <w:rPr>
        <w:rFonts w:ascii="Symbol" w:hAnsi="Symbol" w:hint="default"/>
      </w:rPr>
    </w:lvl>
    <w:lvl w:ilvl="4">
      <w:start w:val="1"/>
      <w:numFmt w:val="bullet"/>
      <w:lvlText w:val="o"/>
      <w:lvlJc w:val="left"/>
      <w:pPr>
        <w:tabs>
          <w:tab w:val="num" w:pos="3960"/>
        </w:tabs>
        <w:ind w:left="3960" w:hanging="360"/>
      </w:pPr>
      <w:rPr>
        <w:rFonts w:ascii="Courier New" w:hAnsi="Courier New" w:cs="Courier New" w:hint="default"/>
      </w:rPr>
    </w:lvl>
    <w:lvl w:ilvl="5">
      <w:start w:val="1"/>
      <w:numFmt w:val="bullet"/>
      <w:lvlText w:val=""/>
      <w:lvlJc w:val="left"/>
      <w:pPr>
        <w:tabs>
          <w:tab w:val="num" w:pos="4680"/>
        </w:tabs>
        <w:ind w:left="4680" w:hanging="360"/>
      </w:pPr>
      <w:rPr>
        <w:rFonts w:ascii="Wingdings" w:hAnsi="Wingdings" w:hint="default"/>
      </w:rPr>
    </w:lvl>
    <w:lvl w:ilvl="6">
      <w:start w:val="1"/>
      <w:numFmt w:val="bullet"/>
      <w:lvlText w:val=""/>
      <w:lvlJc w:val="left"/>
      <w:pPr>
        <w:tabs>
          <w:tab w:val="num" w:pos="5400"/>
        </w:tabs>
        <w:ind w:left="5400" w:hanging="360"/>
      </w:pPr>
      <w:rPr>
        <w:rFonts w:ascii="Symbol" w:hAnsi="Symbol" w:hint="default"/>
      </w:rPr>
    </w:lvl>
    <w:lvl w:ilvl="7">
      <w:start w:val="1"/>
      <w:numFmt w:val="bullet"/>
      <w:lvlText w:val="o"/>
      <w:lvlJc w:val="left"/>
      <w:pPr>
        <w:tabs>
          <w:tab w:val="num" w:pos="6120"/>
        </w:tabs>
        <w:ind w:left="6120" w:hanging="360"/>
      </w:pPr>
      <w:rPr>
        <w:rFonts w:ascii="Courier New" w:hAnsi="Courier New" w:cs="Courier New" w:hint="default"/>
      </w:rPr>
    </w:lvl>
    <w:lvl w:ilvl="8">
      <w:start w:val="1"/>
      <w:numFmt w:val="bullet"/>
      <w:lvlText w:val=""/>
      <w:lvlJc w:val="left"/>
      <w:pPr>
        <w:tabs>
          <w:tab w:val="num" w:pos="6840"/>
        </w:tabs>
        <w:ind w:left="6840" w:hanging="360"/>
      </w:pPr>
      <w:rPr>
        <w:rFonts w:ascii="Wingdings" w:hAnsi="Wingdings" w:hint="default"/>
      </w:rPr>
    </w:lvl>
  </w:abstractNum>
  <w:abstractNum w:abstractNumId="25">
    <w:nsid w:val="6BAF63F9"/>
    <w:multiLevelType w:val="hybridMultilevel"/>
    <w:tmpl w:val="0BAADF2C"/>
    <w:lvl w:ilvl="0">
      <w:start w:val="1"/>
      <w:numFmt w:val="decimal"/>
      <w:pStyle w:val="bizHeadingBAS1"/>
      <w:lvlText w:val="%1."/>
      <w:lvlJc w:val="left"/>
      <w:pPr>
        <w:ind w:left="720" w:hanging="360"/>
      </w:p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26">
    <w:nsid w:val="703D2C01"/>
    <w:multiLevelType w:val="multilevel"/>
    <w:tmpl w:val="F6DAA090"/>
    <w:lvl w:ilvl="0">
      <w:start w:val="1"/>
      <w:numFmt w:val="none"/>
      <w:lvlText w:val="%1"/>
      <w:lvlJc w:val="left"/>
      <w:pPr>
        <w:tabs>
          <w:tab w:val="num" w:pos="0"/>
        </w:tabs>
        <w:ind w:left="0" w:firstLine="0"/>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4."/>
      <w:lvlJc w:val="left"/>
      <w:pPr>
        <w:tabs>
          <w:tab w:val="num" w:pos="340"/>
        </w:tabs>
        <w:ind w:left="340" w:firstLine="0"/>
      </w:pPr>
      <w:rPr>
        <w:rFonts w:hint="default"/>
        <w:b/>
        <w:i w:val="0"/>
        <w:sz w:val="20"/>
        <w:szCs w:val="20"/>
      </w:rPr>
    </w:lvl>
    <w:lvl w:ilvl="4">
      <w:start w:val="1"/>
      <w:numFmt w:val="lowerLetter"/>
      <w:lvlText w:val="%1%5."/>
      <w:lvlJc w:val="left"/>
      <w:pPr>
        <w:tabs>
          <w:tab w:val="num" w:pos="567"/>
        </w:tabs>
        <w:ind w:left="567" w:firstLine="0"/>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7">
    <w:nsid w:val="720458A5"/>
    <w:multiLevelType w:val="multilevel"/>
    <w:tmpl w:val="D2F211A6"/>
    <w:lvl w:ilvl="0">
      <w:start w:val="1"/>
      <w:numFmt w:val="decimal"/>
      <w:lvlText w:val="PARTE %1 - "/>
      <w:lvlJc w:val="left"/>
      <w:pPr>
        <w:tabs>
          <w:tab w:val="num" w:pos="0"/>
        </w:tabs>
        <w:ind w:left="0" w:firstLine="0"/>
      </w:pPr>
      <w:rPr>
        <w:rFonts w:hint="default"/>
      </w:rPr>
    </w:lvl>
    <w:lvl w:ilvl="1">
      <w:start w:val="1"/>
      <w:numFmt w:val="decimal"/>
      <w:lvlText w:val="%2."/>
      <w:lvlJc w:val="left"/>
      <w:pPr>
        <w:tabs>
          <w:tab w:val="num" w:pos="576"/>
        </w:tabs>
        <w:ind w:left="576" w:hanging="576"/>
      </w:pPr>
      <w:rPr>
        <w:rFonts w:hint="default"/>
      </w:rPr>
    </w:lvl>
    <w:lvl w:ilvl="2">
      <w:start w:val="1"/>
      <w:numFmt w:val="decimal"/>
      <w:lvlText w:val="%2.%3"/>
      <w:lvlJc w:val="left"/>
      <w:pPr>
        <w:tabs>
          <w:tab w:val="num" w:pos="720"/>
        </w:tabs>
        <w:ind w:left="720" w:hanging="720"/>
      </w:pPr>
      <w:rPr>
        <w:rFonts w:hint="default"/>
      </w:rPr>
    </w:lvl>
    <w:lvl w:ilvl="3">
      <w:start w:val="1"/>
      <w:numFmt w:val="decimal"/>
      <w:lvlText w:val="%4."/>
      <w:lvlJc w:val="left"/>
      <w:pPr>
        <w:tabs>
          <w:tab w:val="num" w:pos="340"/>
        </w:tabs>
        <w:ind w:left="680" w:hanging="340"/>
      </w:pPr>
      <w:rPr>
        <w:rFonts w:hint="default"/>
        <w:b/>
        <w:i w:val="0"/>
        <w:sz w:val="20"/>
        <w:szCs w:val="20"/>
      </w:rPr>
    </w:lvl>
    <w:lvl w:ilvl="4">
      <w:start w:val="1"/>
      <w:numFmt w:val="decimal"/>
      <w:lvlText w:val="%5."/>
      <w:lvlJc w:val="left"/>
      <w:pPr>
        <w:tabs>
          <w:tab w:val="num" w:pos="0"/>
        </w:tabs>
        <w:ind w:left="567" w:firstLine="0"/>
      </w:pPr>
      <w:rPr>
        <w:rFonts w:hint="default"/>
      </w:rPr>
    </w:lvl>
    <w:lvl w:ilvl="5">
      <w:start w:val="1"/>
      <w:numFmt w:val="bullet"/>
      <w:lvlText w:val=""/>
      <w:lvlJc w:val="left"/>
      <w:pPr>
        <w:tabs>
          <w:tab w:val="num" w:pos="1008"/>
        </w:tabs>
        <w:ind w:left="1008" w:firstLine="0"/>
      </w:pPr>
      <w:rPr>
        <w:rFonts w:ascii="Symbol" w:hAnsi="Symbol"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8">
    <w:nsid w:val="72C24349"/>
    <w:multiLevelType w:val="hybridMultilevel"/>
    <w:tmpl w:val="3DBE061E"/>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9">
    <w:nsid w:val="749C6144"/>
    <w:multiLevelType w:val="hybridMultilevel"/>
    <w:tmpl w:val="503C8282"/>
    <w:lvl w:ilvl="0">
      <w:start w:val="1"/>
      <w:numFmt w:val="lowerLetter"/>
      <w:lvlText w:val="%1."/>
      <w:lvlJc w:val="left"/>
      <w:pPr>
        <w:tabs>
          <w:tab w:val="num" w:pos="1440"/>
        </w:tabs>
        <w:ind w:left="1440" w:hanging="360"/>
      </w:pPr>
    </w:lvl>
    <w:lvl w:ilvl="1" w:tentative="1">
      <w:start w:val="1"/>
      <w:numFmt w:val="lowerLetter"/>
      <w:lvlText w:val="%2."/>
      <w:lvlJc w:val="left"/>
      <w:pPr>
        <w:tabs>
          <w:tab w:val="num" w:pos="2160"/>
        </w:tabs>
        <w:ind w:left="2160" w:hanging="360"/>
      </w:pPr>
    </w:lvl>
    <w:lvl w:ilvl="2" w:tentative="1">
      <w:start w:val="1"/>
      <w:numFmt w:val="lowerRoman"/>
      <w:lvlText w:val="%3."/>
      <w:lvlJc w:val="right"/>
      <w:pPr>
        <w:tabs>
          <w:tab w:val="num" w:pos="2880"/>
        </w:tabs>
        <w:ind w:left="2880" w:hanging="180"/>
      </w:pPr>
    </w:lvl>
    <w:lvl w:ilvl="3" w:tentative="1">
      <w:start w:val="1"/>
      <w:numFmt w:val="decimal"/>
      <w:lvlText w:val="%4."/>
      <w:lvlJc w:val="left"/>
      <w:pPr>
        <w:tabs>
          <w:tab w:val="num" w:pos="3600"/>
        </w:tabs>
        <w:ind w:left="3600" w:hanging="360"/>
      </w:pPr>
    </w:lvl>
    <w:lvl w:ilvl="4" w:tentative="1">
      <w:start w:val="1"/>
      <w:numFmt w:val="lowerLetter"/>
      <w:lvlText w:val="%5."/>
      <w:lvlJc w:val="left"/>
      <w:pPr>
        <w:tabs>
          <w:tab w:val="num" w:pos="4320"/>
        </w:tabs>
        <w:ind w:left="4320" w:hanging="360"/>
      </w:pPr>
    </w:lvl>
    <w:lvl w:ilvl="5" w:tentative="1">
      <w:start w:val="1"/>
      <w:numFmt w:val="lowerRoman"/>
      <w:lvlText w:val="%6."/>
      <w:lvlJc w:val="right"/>
      <w:pPr>
        <w:tabs>
          <w:tab w:val="num" w:pos="5040"/>
        </w:tabs>
        <w:ind w:left="5040" w:hanging="180"/>
      </w:pPr>
    </w:lvl>
    <w:lvl w:ilvl="6" w:tentative="1">
      <w:start w:val="1"/>
      <w:numFmt w:val="decimal"/>
      <w:lvlText w:val="%7."/>
      <w:lvlJc w:val="left"/>
      <w:pPr>
        <w:tabs>
          <w:tab w:val="num" w:pos="5760"/>
        </w:tabs>
        <w:ind w:left="5760" w:hanging="360"/>
      </w:pPr>
    </w:lvl>
    <w:lvl w:ilvl="7" w:tentative="1">
      <w:start w:val="1"/>
      <w:numFmt w:val="lowerLetter"/>
      <w:lvlText w:val="%8."/>
      <w:lvlJc w:val="left"/>
      <w:pPr>
        <w:tabs>
          <w:tab w:val="num" w:pos="6480"/>
        </w:tabs>
        <w:ind w:left="6480" w:hanging="360"/>
      </w:pPr>
    </w:lvl>
    <w:lvl w:ilvl="8" w:tentative="1">
      <w:start w:val="1"/>
      <w:numFmt w:val="lowerRoman"/>
      <w:lvlText w:val="%9."/>
      <w:lvlJc w:val="right"/>
      <w:pPr>
        <w:tabs>
          <w:tab w:val="num" w:pos="7200"/>
        </w:tabs>
        <w:ind w:left="7200" w:hanging="180"/>
      </w:pPr>
    </w:lvl>
  </w:abstractNum>
  <w:abstractNum w:abstractNumId="30">
    <w:nsid w:val="76975671"/>
    <w:multiLevelType w:val="hybridMultilevel"/>
    <w:tmpl w:val="07BAB2B2"/>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decimal"/>
      <w:lvlText w:val="%3."/>
      <w:lvlJc w:val="left"/>
      <w:pPr>
        <w:tabs>
          <w:tab w:val="num" w:pos="2340"/>
        </w:tabs>
        <w:ind w:left="2340" w:hanging="36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1">
    <w:nsid w:val="769E547F"/>
    <w:multiLevelType w:val="hybridMultilevel"/>
    <w:tmpl w:val="C7EAF0B2"/>
    <w:lvl w:ilvl="0">
      <w:start w:val="1"/>
      <w:numFmt w:val="decimal"/>
      <w:lvlText w:val="%1."/>
      <w:lvlJc w:val="left"/>
      <w:pPr>
        <w:tabs>
          <w:tab w:val="num" w:pos="2340"/>
        </w:tabs>
        <w:ind w:left="2340" w:hanging="360"/>
      </w:pPr>
    </w:lvl>
    <w:lvl w:ilvl="1">
      <w:start w:val="1"/>
      <w:numFmt w:val="lowerLetter"/>
      <w:lvlText w:val="%2."/>
      <w:lvlJc w:val="left"/>
      <w:pPr>
        <w:tabs>
          <w:tab w:val="num" w:pos="3060"/>
        </w:tabs>
        <w:ind w:left="3060" w:hanging="360"/>
      </w:pPr>
    </w:lvl>
    <w:lvl w:ilvl="2" w:tentative="1">
      <w:start w:val="1"/>
      <w:numFmt w:val="lowerRoman"/>
      <w:lvlText w:val="%3."/>
      <w:lvlJc w:val="right"/>
      <w:pPr>
        <w:tabs>
          <w:tab w:val="num" w:pos="3780"/>
        </w:tabs>
        <w:ind w:left="3780" w:hanging="180"/>
      </w:pPr>
    </w:lvl>
    <w:lvl w:ilvl="3" w:tentative="1">
      <w:start w:val="1"/>
      <w:numFmt w:val="decimal"/>
      <w:lvlText w:val="%4."/>
      <w:lvlJc w:val="left"/>
      <w:pPr>
        <w:tabs>
          <w:tab w:val="num" w:pos="4500"/>
        </w:tabs>
        <w:ind w:left="4500" w:hanging="360"/>
      </w:pPr>
    </w:lvl>
    <w:lvl w:ilvl="4" w:tentative="1">
      <w:start w:val="1"/>
      <w:numFmt w:val="lowerLetter"/>
      <w:lvlText w:val="%5."/>
      <w:lvlJc w:val="left"/>
      <w:pPr>
        <w:tabs>
          <w:tab w:val="num" w:pos="5220"/>
        </w:tabs>
        <w:ind w:left="5220" w:hanging="360"/>
      </w:pPr>
    </w:lvl>
    <w:lvl w:ilvl="5" w:tentative="1">
      <w:start w:val="1"/>
      <w:numFmt w:val="lowerRoman"/>
      <w:lvlText w:val="%6."/>
      <w:lvlJc w:val="right"/>
      <w:pPr>
        <w:tabs>
          <w:tab w:val="num" w:pos="5940"/>
        </w:tabs>
        <w:ind w:left="5940" w:hanging="180"/>
      </w:pPr>
    </w:lvl>
    <w:lvl w:ilvl="6" w:tentative="1">
      <w:start w:val="1"/>
      <w:numFmt w:val="decimal"/>
      <w:lvlText w:val="%7."/>
      <w:lvlJc w:val="left"/>
      <w:pPr>
        <w:tabs>
          <w:tab w:val="num" w:pos="6660"/>
        </w:tabs>
        <w:ind w:left="6660" w:hanging="360"/>
      </w:pPr>
    </w:lvl>
    <w:lvl w:ilvl="7" w:tentative="1">
      <w:start w:val="1"/>
      <w:numFmt w:val="lowerLetter"/>
      <w:lvlText w:val="%8."/>
      <w:lvlJc w:val="left"/>
      <w:pPr>
        <w:tabs>
          <w:tab w:val="num" w:pos="7380"/>
        </w:tabs>
        <w:ind w:left="7380" w:hanging="360"/>
      </w:pPr>
    </w:lvl>
    <w:lvl w:ilvl="8" w:tentative="1">
      <w:start w:val="1"/>
      <w:numFmt w:val="lowerRoman"/>
      <w:lvlText w:val="%9."/>
      <w:lvlJc w:val="right"/>
      <w:pPr>
        <w:tabs>
          <w:tab w:val="num" w:pos="8100"/>
        </w:tabs>
        <w:ind w:left="8100" w:hanging="180"/>
      </w:pPr>
    </w:lvl>
  </w:abstractNum>
  <w:abstractNum w:abstractNumId="32">
    <w:nsid w:val="78076813"/>
    <w:multiLevelType w:val="multilevel"/>
    <w:tmpl w:val="F7D09B92"/>
    <w:lvl w:ilvl="0">
      <w:start w:val="1"/>
      <w:numFmt w:val="none"/>
      <w:lvlText w:val="%1"/>
      <w:lvlJc w:val="left"/>
      <w:pPr>
        <w:tabs>
          <w:tab w:val="num" w:pos="0"/>
        </w:tabs>
        <w:ind w:left="0" w:firstLine="0"/>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4."/>
      <w:lvlJc w:val="left"/>
      <w:pPr>
        <w:tabs>
          <w:tab w:val="num" w:pos="340"/>
        </w:tabs>
        <w:ind w:left="340" w:firstLine="0"/>
      </w:pPr>
      <w:rPr>
        <w:rFonts w:hint="default"/>
        <w:b/>
        <w:i w:val="0"/>
        <w:sz w:val="20"/>
        <w:szCs w:val="20"/>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3">
    <w:nsid w:val="783861BA"/>
    <w:multiLevelType w:val="hybridMultilevel"/>
    <w:tmpl w:val="78ACCB1A"/>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700"/>
        </w:tabs>
        <w:ind w:left="2700" w:hanging="720"/>
      </w:pPr>
      <w:rPr>
        <w:rFonts w:hint="default"/>
      </w:r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4">
    <w:nsid w:val="790C1712"/>
    <w:multiLevelType w:val="multilevel"/>
    <w:tmpl w:val="02C0E5D2"/>
    <w:lvl w:ilvl="0">
      <w:start w:val="1"/>
      <w:numFmt w:val="none"/>
      <w:lvlText w:val="%1"/>
      <w:lvlJc w:val="left"/>
      <w:pPr>
        <w:tabs>
          <w:tab w:val="num" w:pos="0"/>
        </w:tabs>
        <w:ind w:left="0" w:firstLine="0"/>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4."/>
      <w:lvlJc w:val="left"/>
      <w:pPr>
        <w:tabs>
          <w:tab w:val="num" w:pos="340"/>
        </w:tabs>
        <w:ind w:left="340" w:firstLine="0"/>
      </w:pPr>
      <w:rPr>
        <w:rFonts w:hint="default"/>
        <w:b/>
        <w:i w:val="0"/>
        <w:sz w:val="20"/>
        <w:szCs w:val="20"/>
      </w:rPr>
    </w:lvl>
    <w:lvl w:ilvl="4">
      <w:start w:val="1"/>
      <w:numFmt w:val="lowerLetter"/>
      <w:lvlText w:val="%1%5."/>
      <w:lvlJc w:val="left"/>
      <w:pPr>
        <w:tabs>
          <w:tab w:val="num" w:pos="0"/>
        </w:tabs>
        <w:ind w:left="567" w:firstLine="0"/>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5">
    <w:nsid w:val="7B4D7EFE"/>
    <w:multiLevelType w:val="hybridMultilevel"/>
    <w:tmpl w:val="48C642F4"/>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6">
    <w:nsid w:val="7D5458C9"/>
    <w:multiLevelType w:val="multilevel"/>
    <w:tmpl w:val="5A38882A"/>
    <w:lvl w:ilvl="0">
      <w:start w:val="1"/>
      <w:numFmt w:val="decimal"/>
      <w:suff w:val="nothing"/>
      <w:lvlText w:val=" %1 - "/>
      <w:lvlJc w:val="left"/>
      <w:pPr>
        <w:ind w:left="0" w:firstLine="0"/>
      </w:pPr>
      <w:rPr>
        <w:rFonts w:hint="default"/>
      </w:rPr>
    </w:lvl>
    <w:lvl w:ilvl="1">
      <w:start w:val="1"/>
      <w:numFmt w:val="decimal"/>
      <w:lvlText w:val="%1.%2"/>
      <w:lvlJc w:val="left"/>
      <w:pPr>
        <w:tabs>
          <w:tab w:val="num" w:pos="1008"/>
        </w:tabs>
        <w:ind w:left="1008" w:hanging="1008"/>
      </w:pPr>
      <w:rPr>
        <w:rFonts w:hint="default"/>
      </w:rPr>
    </w:lvl>
    <w:lvl w:ilvl="2">
      <w:start w:val="1"/>
      <w:numFmt w:val="decimal"/>
      <w:lvlText w:val="%1.%2.%3"/>
      <w:lvlJc w:val="left"/>
      <w:pPr>
        <w:tabs>
          <w:tab w:val="num" w:pos="1008"/>
        </w:tabs>
        <w:ind w:left="1008" w:hanging="1008"/>
      </w:pPr>
      <w:rPr>
        <w:rFonts w:hint="default"/>
      </w:rPr>
    </w:lvl>
    <w:lvl w:ilvl="3">
      <w:start w:val="1"/>
      <w:numFmt w:val="decimal"/>
      <w:lvlText w:val="%4."/>
      <w:lvlJc w:val="left"/>
      <w:pPr>
        <w:tabs>
          <w:tab w:val="num" w:pos="1008"/>
        </w:tabs>
        <w:ind w:left="648" w:hanging="144"/>
      </w:pPr>
      <w:rPr>
        <w:rFonts w:hint="default"/>
        <w:b/>
        <w:i w:val="0"/>
        <w:sz w:val="20"/>
        <w:szCs w:val="20"/>
      </w:rPr>
    </w:lvl>
    <w:lvl w:ilvl="4">
      <w:start w:val="1"/>
      <w:numFmt w:val="decimal"/>
      <w:lvlText w:val="%5."/>
      <w:lvlJc w:val="left"/>
      <w:pPr>
        <w:tabs>
          <w:tab w:val="num" w:pos="1368"/>
        </w:tabs>
        <w:ind w:left="1080" w:firstLine="0"/>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num w:numId="1">
    <w:abstractNumId w:val="19"/>
  </w:num>
  <w:num w:numId="2">
    <w:abstractNumId w:val="28"/>
  </w:num>
  <w:num w:numId="3">
    <w:abstractNumId w:val="23"/>
  </w:num>
  <w:num w:numId="4">
    <w:abstractNumId w:val="1"/>
  </w:num>
  <w:num w:numId="5">
    <w:abstractNumId w:val="16"/>
  </w:num>
  <w:num w:numId="6">
    <w:abstractNumId w:val="20"/>
  </w:num>
  <w:num w:numId="7">
    <w:abstractNumId w:val="22"/>
  </w:num>
  <w:num w:numId="8">
    <w:abstractNumId w:val="13"/>
  </w:num>
  <w:num w:numId="9">
    <w:abstractNumId w:val="3"/>
  </w:num>
  <w:num w:numId="10">
    <w:abstractNumId w:val="31"/>
  </w:num>
  <w:num w:numId="11">
    <w:abstractNumId w:val="9"/>
  </w:num>
  <w:num w:numId="12">
    <w:abstractNumId w:val="30"/>
  </w:num>
  <w:num w:numId="13">
    <w:abstractNumId w:val="6"/>
  </w:num>
  <w:num w:numId="14">
    <w:abstractNumId w:val="21"/>
  </w:num>
  <w:num w:numId="15">
    <w:abstractNumId w:val="4"/>
  </w:num>
  <w:num w:numId="16">
    <w:abstractNumId w:val="11"/>
  </w:num>
  <w:num w:numId="17">
    <w:abstractNumId w:val="17"/>
  </w:num>
  <w:num w:numId="18">
    <w:abstractNumId w:val="14"/>
  </w:num>
  <w:num w:numId="19">
    <w:abstractNumId w:val="29"/>
  </w:num>
  <w:num w:numId="20">
    <w:abstractNumId w:val="35"/>
  </w:num>
  <w:num w:numId="21">
    <w:abstractNumId w:val="33"/>
  </w:num>
  <w:num w:numId="22">
    <w:abstractNumId w:val="18"/>
  </w:num>
  <w:num w:numId="23">
    <w:abstractNumId w:val="32"/>
  </w:num>
  <w:num w:numId="24">
    <w:abstractNumId w:val="26"/>
  </w:num>
  <w:num w:numId="25">
    <w:abstractNumId w:val="7"/>
  </w:num>
  <w:num w:numId="26">
    <w:abstractNumId w:val="12"/>
  </w:num>
  <w:num w:numId="27">
    <w:abstractNumId w:val="2"/>
  </w:num>
  <w:num w:numId="28">
    <w:abstractNumId w:val="10"/>
  </w:num>
  <w:num w:numId="29">
    <w:abstractNumId w:val="34"/>
  </w:num>
  <w:num w:numId="30">
    <w:abstractNumId w:val="18"/>
  </w:num>
  <w:num w:numId="31">
    <w:abstractNumId w:val="18"/>
  </w:num>
  <w:num w:numId="32">
    <w:abstractNumId w:val="18"/>
  </w:num>
  <w:num w:numId="33">
    <w:abstractNumId w:val="5"/>
  </w:num>
  <w:num w:numId="34">
    <w:abstractNumId w:val="8"/>
  </w:num>
  <w:num w:numId="35">
    <w:abstractNumId w:val="5"/>
  </w:num>
  <w:num w:numId="36">
    <w:abstractNumId w:val="5"/>
  </w:num>
  <w:num w:numId="37">
    <w:abstractNumId w:val="24"/>
  </w:num>
  <w:num w:numId="38">
    <w:abstractNumId w:val="5"/>
  </w:num>
  <w:num w:numId="39">
    <w:abstractNumId w:val="5"/>
  </w:num>
  <w:num w:numId="40">
    <w:abstractNumId w:val="5"/>
  </w:num>
  <w:num w:numId="41">
    <w:abstractNumId w:val="5"/>
  </w:num>
  <w:num w:numId="42">
    <w:abstractNumId w:val="27"/>
  </w:num>
  <w:num w:numId="43">
    <w:abstractNumId w:val="15"/>
  </w:num>
  <w:num w:numId="44">
    <w:abstractNumId w:val="5"/>
  </w:num>
  <w:num w:numId="45">
    <w:abstractNumId w:val="36"/>
  </w:num>
  <w:num w:numId="46">
    <w:abstractNumId w:val="25"/>
  </w:num>
  <w:num w:numId="47">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removePersonalInformation/>
  <w:removeDateAndTime/>
  <w:stylePaneFormatFilter w:val="3F01"/>
  <w:doNotTrackMoves/>
  <w:defaultTabStop w:val="720"/>
  <w:characterSpacingControl w:val="doNotCompress"/>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2D61C1"/>
    <w:rsid w:val="000007FB"/>
    <w:rsid w:val="00000F1B"/>
    <w:rsid w:val="00003A15"/>
    <w:rsid w:val="00003D77"/>
    <w:rsid w:val="000074F6"/>
    <w:rsid w:val="00007736"/>
    <w:rsid w:val="00012BBE"/>
    <w:rsid w:val="00014F7C"/>
    <w:rsid w:val="00015341"/>
    <w:rsid w:val="00015ACC"/>
    <w:rsid w:val="00021707"/>
    <w:rsid w:val="00025BD9"/>
    <w:rsid w:val="0003100E"/>
    <w:rsid w:val="000400C4"/>
    <w:rsid w:val="00045378"/>
    <w:rsid w:val="000606FF"/>
    <w:rsid w:val="00062727"/>
    <w:rsid w:val="00064038"/>
    <w:rsid w:val="00071488"/>
    <w:rsid w:val="000734DA"/>
    <w:rsid w:val="00074D42"/>
    <w:rsid w:val="00074E36"/>
    <w:rsid w:val="000774A1"/>
    <w:rsid w:val="00084110"/>
    <w:rsid w:val="00086D30"/>
    <w:rsid w:val="0008735C"/>
    <w:rsid w:val="00091358"/>
    <w:rsid w:val="000961EB"/>
    <w:rsid w:val="00097384"/>
    <w:rsid w:val="000B26D6"/>
    <w:rsid w:val="000B2900"/>
    <w:rsid w:val="000B4982"/>
    <w:rsid w:val="000B5018"/>
    <w:rsid w:val="000D0F74"/>
    <w:rsid w:val="000D2ECA"/>
    <w:rsid w:val="000D74E2"/>
    <w:rsid w:val="000E1245"/>
    <w:rsid w:val="000E1F68"/>
    <w:rsid w:val="000E2E00"/>
    <w:rsid w:val="000E4853"/>
    <w:rsid w:val="000E4AD1"/>
    <w:rsid w:val="000F0F39"/>
    <w:rsid w:val="000F3713"/>
    <w:rsid w:val="000F5064"/>
    <w:rsid w:val="000F5CBC"/>
    <w:rsid w:val="00100479"/>
    <w:rsid w:val="00105188"/>
    <w:rsid w:val="00105811"/>
    <w:rsid w:val="00115201"/>
    <w:rsid w:val="0011555F"/>
    <w:rsid w:val="001244D0"/>
    <w:rsid w:val="001320EC"/>
    <w:rsid w:val="00133DB2"/>
    <w:rsid w:val="00133EAB"/>
    <w:rsid w:val="0014099E"/>
    <w:rsid w:val="0014184E"/>
    <w:rsid w:val="001442E7"/>
    <w:rsid w:val="00146FD2"/>
    <w:rsid w:val="00152EF1"/>
    <w:rsid w:val="00153542"/>
    <w:rsid w:val="00153CDC"/>
    <w:rsid w:val="00154FD3"/>
    <w:rsid w:val="001572C1"/>
    <w:rsid w:val="00160AE1"/>
    <w:rsid w:val="00161BEE"/>
    <w:rsid w:val="001631E2"/>
    <w:rsid w:val="00163F1C"/>
    <w:rsid w:val="00165BDD"/>
    <w:rsid w:val="00167DB2"/>
    <w:rsid w:val="001745B2"/>
    <w:rsid w:val="00175724"/>
    <w:rsid w:val="00184ACA"/>
    <w:rsid w:val="0018567E"/>
    <w:rsid w:val="001860BF"/>
    <w:rsid w:val="001911EC"/>
    <w:rsid w:val="001967F0"/>
    <w:rsid w:val="001A0D60"/>
    <w:rsid w:val="001A3D5B"/>
    <w:rsid w:val="001B3048"/>
    <w:rsid w:val="001C22BE"/>
    <w:rsid w:val="001C251F"/>
    <w:rsid w:val="001D77FC"/>
    <w:rsid w:val="001E527D"/>
    <w:rsid w:val="001F043C"/>
    <w:rsid w:val="001F3B82"/>
    <w:rsid w:val="001F5161"/>
    <w:rsid w:val="001F5727"/>
    <w:rsid w:val="00203170"/>
    <w:rsid w:val="0021548A"/>
    <w:rsid w:val="00216656"/>
    <w:rsid w:val="002313AF"/>
    <w:rsid w:val="002431E4"/>
    <w:rsid w:val="00245ACB"/>
    <w:rsid w:val="00245B5B"/>
    <w:rsid w:val="0024677B"/>
    <w:rsid w:val="002501A6"/>
    <w:rsid w:val="0025587E"/>
    <w:rsid w:val="00270F07"/>
    <w:rsid w:val="002732D9"/>
    <w:rsid w:val="0027569B"/>
    <w:rsid w:val="002945BF"/>
    <w:rsid w:val="002A1FD5"/>
    <w:rsid w:val="002B3EFE"/>
    <w:rsid w:val="002B65BB"/>
    <w:rsid w:val="002B7464"/>
    <w:rsid w:val="002B7F64"/>
    <w:rsid w:val="002C4B5D"/>
    <w:rsid w:val="002C6201"/>
    <w:rsid w:val="002D20E4"/>
    <w:rsid w:val="002D6001"/>
    <w:rsid w:val="002D61C1"/>
    <w:rsid w:val="002D673C"/>
    <w:rsid w:val="002E0F27"/>
    <w:rsid w:val="002E7C7C"/>
    <w:rsid w:val="002F0FB6"/>
    <w:rsid w:val="00305B53"/>
    <w:rsid w:val="00312616"/>
    <w:rsid w:val="003201C8"/>
    <w:rsid w:val="003247EA"/>
    <w:rsid w:val="003263B4"/>
    <w:rsid w:val="00326B56"/>
    <w:rsid w:val="00326F94"/>
    <w:rsid w:val="00330E4C"/>
    <w:rsid w:val="00331169"/>
    <w:rsid w:val="0033261A"/>
    <w:rsid w:val="0033264A"/>
    <w:rsid w:val="00333651"/>
    <w:rsid w:val="00333A43"/>
    <w:rsid w:val="00334236"/>
    <w:rsid w:val="00342534"/>
    <w:rsid w:val="0034294D"/>
    <w:rsid w:val="00344C90"/>
    <w:rsid w:val="00345DA2"/>
    <w:rsid w:val="00353FC8"/>
    <w:rsid w:val="00362E19"/>
    <w:rsid w:val="0036453B"/>
    <w:rsid w:val="003715DB"/>
    <w:rsid w:val="00372ED7"/>
    <w:rsid w:val="00376C9A"/>
    <w:rsid w:val="00382F51"/>
    <w:rsid w:val="00384D6B"/>
    <w:rsid w:val="003859E7"/>
    <w:rsid w:val="00393D40"/>
    <w:rsid w:val="003A26CF"/>
    <w:rsid w:val="003A6EDD"/>
    <w:rsid w:val="003C1C42"/>
    <w:rsid w:val="003C45DE"/>
    <w:rsid w:val="003D32DA"/>
    <w:rsid w:val="003D699F"/>
    <w:rsid w:val="003D7DE5"/>
    <w:rsid w:val="003E0728"/>
    <w:rsid w:val="003E28A5"/>
    <w:rsid w:val="003E48D4"/>
    <w:rsid w:val="003E5F9A"/>
    <w:rsid w:val="003E7AC4"/>
    <w:rsid w:val="003F36E3"/>
    <w:rsid w:val="0040021E"/>
    <w:rsid w:val="00402100"/>
    <w:rsid w:val="00414DCE"/>
    <w:rsid w:val="00422C9A"/>
    <w:rsid w:val="004255C7"/>
    <w:rsid w:val="00425E09"/>
    <w:rsid w:val="00430B6F"/>
    <w:rsid w:val="0043331B"/>
    <w:rsid w:val="00440553"/>
    <w:rsid w:val="00443780"/>
    <w:rsid w:val="00447241"/>
    <w:rsid w:val="004478F1"/>
    <w:rsid w:val="00447FB2"/>
    <w:rsid w:val="00450B29"/>
    <w:rsid w:val="00450C9F"/>
    <w:rsid w:val="00451BB4"/>
    <w:rsid w:val="00456DF1"/>
    <w:rsid w:val="00463FAD"/>
    <w:rsid w:val="0048085A"/>
    <w:rsid w:val="00483741"/>
    <w:rsid w:val="00490365"/>
    <w:rsid w:val="00494A66"/>
    <w:rsid w:val="00497467"/>
    <w:rsid w:val="004A338C"/>
    <w:rsid w:val="004A4250"/>
    <w:rsid w:val="004A5B6B"/>
    <w:rsid w:val="004A7AA5"/>
    <w:rsid w:val="004B411D"/>
    <w:rsid w:val="004B66E5"/>
    <w:rsid w:val="004B6FAB"/>
    <w:rsid w:val="004C1B4C"/>
    <w:rsid w:val="004C2A9C"/>
    <w:rsid w:val="004D16DF"/>
    <w:rsid w:val="004D7B3B"/>
    <w:rsid w:val="004F1444"/>
    <w:rsid w:val="004F48B3"/>
    <w:rsid w:val="00500120"/>
    <w:rsid w:val="005012CE"/>
    <w:rsid w:val="00503EE8"/>
    <w:rsid w:val="00503FF1"/>
    <w:rsid w:val="00507477"/>
    <w:rsid w:val="00527129"/>
    <w:rsid w:val="00534239"/>
    <w:rsid w:val="0053486F"/>
    <w:rsid w:val="00535E45"/>
    <w:rsid w:val="00540156"/>
    <w:rsid w:val="005402E4"/>
    <w:rsid w:val="005529B3"/>
    <w:rsid w:val="00554DC9"/>
    <w:rsid w:val="005624B2"/>
    <w:rsid w:val="00562BBE"/>
    <w:rsid w:val="005640C6"/>
    <w:rsid w:val="005676E5"/>
    <w:rsid w:val="00572CD1"/>
    <w:rsid w:val="00574F23"/>
    <w:rsid w:val="00576752"/>
    <w:rsid w:val="005868D8"/>
    <w:rsid w:val="00591299"/>
    <w:rsid w:val="00591489"/>
    <w:rsid w:val="005A0321"/>
    <w:rsid w:val="005A70BD"/>
    <w:rsid w:val="005B1D20"/>
    <w:rsid w:val="005B230C"/>
    <w:rsid w:val="005D0836"/>
    <w:rsid w:val="005D0FE7"/>
    <w:rsid w:val="005D720A"/>
    <w:rsid w:val="005E21A4"/>
    <w:rsid w:val="005E31F9"/>
    <w:rsid w:val="005F3913"/>
    <w:rsid w:val="005F3E2D"/>
    <w:rsid w:val="005F683B"/>
    <w:rsid w:val="005F6D8C"/>
    <w:rsid w:val="00603E0F"/>
    <w:rsid w:val="0060571A"/>
    <w:rsid w:val="006128B8"/>
    <w:rsid w:val="00613750"/>
    <w:rsid w:val="006258E4"/>
    <w:rsid w:val="00630DDB"/>
    <w:rsid w:val="00636FCF"/>
    <w:rsid w:val="006406AE"/>
    <w:rsid w:val="006439D7"/>
    <w:rsid w:val="00645AD4"/>
    <w:rsid w:val="006478FA"/>
    <w:rsid w:val="0066431A"/>
    <w:rsid w:val="00680CF5"/>
    <w:rsid w:val="00682B73"/>
    <w:rsid w:val="00682EC2"/>
    <w:rsid w:val="006871AC"/>
    <w:rsid w:val="00692B0C"/>
    <w:rsid w:val="0069526B"/>
    <w:rsid w:val="006958E0"/>
    <w:rsid w:val="0069770B"/>
    <w:rsid w:val="006A01F4"/>
    <w:rsid w:val="006B0908"/>
    <w:rsid w:val="006C2187"/>
    <w:rsid w:val="006C5BC9"/>
    <w:rsid w:val="006E0689"/>
    <w:rsid w:val="006E2B36"/>
    <w:rsid w:val="006F44CE"/>
    <w:rsid w:val="00703508"/>
    <w:rsid w:val="0070473B"/>
    <w:rsid w:val="0070512E"/>
    <w:rsid w:val="00705381"/>
    <w:rsid w:val="007056B0"/>
    <w:rsid w:val="00711AA1"/>
    <w:rsid w:val="00714B19"/>
    <w:rsid w:val="00722BDE"/>
    <w:rsid w:val="00734243"/>
    <w:rsid w:val="00743611"/>
    <w:rsid w:val="00753E90"/>
    <w:rsid w:val="00773DEB"/>
    <w:rsid w:val="007741DF"/>
    <w:rsid w:val="00774636"/>
    <w:rsid w:val="00781243"/>
    <w:rsid w:val="0078732B"/>
    <w:rsid w:val="00787DA9"/>
    <w:rsid w:val="00787E0A"/>
    <w:rsid w:val="007A2CFF"/>
    <w:rsid w:val="007B3313"/>
    <w:rsid w:val="007B663B"/>
    <w:rsid w:val="007C4D01"/>
    <w:rsid w:val="007C5A5C"/>
    <w:rsid w:val="007D4C61"/>
    <w:rsid w:val="007D63D4"/>
    <w:rsid w:val="007E7B92"/>
    <w:rsid w:val="007F20AE"/>
    <w:rsid w:val="007F5560"/>
    <w:rsid w:val="00803056"/>
    <w:rsid w:val="00805CF9"/>
    <w:rsid w:val="00810B05"/>
    <w:rsid w:val="00820B48"/>
    <w:rsid w:val="00823735"/>
    <w:rsid w:val="00823FEB"/>
    <w:rsid w:val="008261D1"/>
    <w:rsid w:val="0082646C"/>
    <w:rsid w:val="00830C0D"/>
    <w:rsid w:val="0083534E"/>
    <w:rsid w:val="00840511"/>
    <w:rsid w:val="008416BE"/>
    <w:rsid w:val="00843316"/>
    <w:rsid w:val="00846E73"/>
    <w:rsid w:val="00854218"/>
    <w:rsid w:val="008606E1"/>
    <w:rsid w:val="0086088C"/>
    <w:rsid w:val="00862648"/>
    <w:rsid w:val="00865284"/>
    <w:rsid w:val="00876E5D"/>
    <w:rsid w:val="00885444"/>
    <w:rsid w:val="00885706"/>
    <w:rsid w:val="008869C4"/>
    <w:rsid w:val="00890369"/>
    <w:rsid w:val="00891880"/>
    <w:rsid w:val="00897789"/>
    <w:rsid w:val="008A015E"/>
    <w:rsid w:val="008A06D1"/>
    <w:rsid w:val="008B0CB5"/>
    <w:rsid w:val="008B780C"/>
    <w:rsid w:val="008C2240"/>
    <w:rsid w:val="008C2CEA"/>
    <w:rsid w:val="008C6778"/>
    <w:rsid w:val="008D2D31"/>
    <w:rsid w:val="008D537D"/>
    <w:rsid w:val="008D7250"/>
    <w:rsid w:val="008E1BD1"/>
    <w:rsid w:val="008F524D"/>
    <w:rsid w:val="008F5647"/>
    <w:rsid w:val="00913444"/>
    <w:rsid w:val="00914BC2"/>
    <w:rsid w:val="00923871"/>
    <w:rsid w:val="00931B93"/>
    <w:rsid w:val="0093251F"/>
    <w:rsid w:val="00933901"/>
    <w:rsid w:val="009360A9"/>
    <w:rsid w:val="00943A19"/>
    <w:rsid w:val="00953102"/>
    <w:rsid w:val="009532B2"/>
    <w:rsid w:val="00955DC1"/>
    <w:rsid w:val="0097351B"/>
    <w:rsid w:val="00974798"/>
    <w:rsid w:val="00983916"/>
    <w:rsid w:val="00984E7D"/>
    <w:rsid w:val="009854E2"/>
    <w:rsid w:val="00995FDF"/>
    <w:rsid w:val="009A4204"/>
    <w:rsid w:val="009A6F62"/>
    <w:rsid w:val="009B7DFE"/>
    <w:rsid w:val="009C06B5"/>
    <w:rsid w:val="009C2C93"/>
    <w:rsid w:val="009C72BB"/>
    <w:rsid w:val="009F1800"/>
    <w:rsid w:val="009F5920"/>
    <w:rsid w:val="009F7A0D"/>
    <w:rsid w:val="00A07FA6"/>
    <w:rsid w:val="00A13634"/>
    <w:rsid w:val="00A179CB"/>
    <w:rsid w:val="00A2192D"/>
    <w:rsid w:val="00A221E1"/>
    <w:rsid w:val="00A262B2"/>
    <w:rsid w:val="00A363ED"/>
    <w:rsid w:val="00A40C1F"/>
    <w:rsid w:val="00A47B9C"/>
    <w:rsid w:val="00A50CAC"/>
    <w:rsid w:val="00A52BFA"/>
    <w:rsid w:val="00A55D18"/>
    <w:rsid w:val="00A61739"/>
    <w:rsid w:val="00A65310"/>
    <w:rsid w:val="00A66741"/>
    <w:rsid w:val="00A6763D"/>
    <w:rsid w:val="00A74F07"/>
    <w:rsid w:val="00A8255E"/>
    <w:rsid w:val="00A85F1E"/>
    <w:rsid w:val="00A87182"/>
    <w:rsid w:val="00A9061A"/>
    <w:rsid w:val="00A919BB"/>
    <w:rsid w:val="00A9206B"/>
    <w:rsid w:val="00A9312C"/>
    <w:rsid w:val="00A93B0A"/>
    <w:rsid w:val="00A9667F"/>
    <w:rsid w:val="00AA11B9"/>
    <w:rsid w:val="00AA2266"/>
    <w:rsid w:val="00AA5EEB"/>
    <w:rsid w:val="00AB17F0"/>
    <w:rsid w:val="00AB2CF3"/>
    <w:rsid w:val="00AB2F59"/>
    <w:rsid w:val="00AB621F"/>
    <w:rsid w:val="00AC0BD3"/>
    <w:rsid w:val="00AC14E6"/>
    <w:rsid w:val="00AC1C30"/>
    <w:rsid w:val="00AC3C64"/>
    <w:rsid w:val="00AC49CB"/>
    <w:rsid w:val="00AC4FAE"/>
    <w:rsid w:val="00AC5F01"/>
    <w:rsid w:val="00AD2B07"/>
    <w:rsid w:val="00AD7061"/>
    <w:rsid w:val="00AE1DA8"/>
    <w:rsid w:val="00AE2294"/>
    <w:rsid w:val="00AE2D90"/>
    <w:rsid w:val="00AE3ACF"/>
    <w:rsid w:val="00AF0F8A"/>
    <w:rsid w:val="00B040C4"/>
    <w:rsid w:val="00B0626C"/>
    <w:rsid w:val="00B117B7"/>
    <w:rsid w:val="00B1222D"/>
    <w:rsid w:val="00B1429E"/>
    <w:rsid w:val="00B16DFD"/>
    <w:rsid w:val="00B22967"/>
    <w:rsid w:val="00B23D9C"/>
    <w:rsid w:val="00B33A67"/>
    <w:rsid w:val="00B3418D"/>
    <w:rsid w:val="00B36D0B"/>
    <w:rsid w:val="00B3758D"/>
    <w:rsid w:val="00B452F9"/>
    <w:rsid w:val="00B51285"/>
    <w:rsid w:val="00B531D8"/>
    <w:rsid w:val="00B54298"/>
    <w:rsid w:val="00B603BE"/>
    <w:rsid w:val="00B6080A"/>
    <w:rsid w:val="00B679EC"/>
    <w:rsid w:val="00B76981"/>
    <w:rsid w:val="00B83DCF"/>
    <w:rsid w:val="00B87B02"/>
    <w:rsid w:val="00B97928"/>
    <w:rsid w:val="00BA3B32"/>
    <w:rsid w:val="00BC2FC0"/>
    <w:rsid w:val="00BC3029"/>
    <w:rsid w:val="00BC532D"/>
    <w:rsid w:val="00BD71BF"/>
    <w:rsid w:val="00BE42AC"/>
    <w:rsid w:val="00BE7281"/>
    <w:rsid w:val="00BF1BBD"/>
    <w:rsid w:val="00C239E1"/>
    <w:rsid w:val="00C30B19"/>
    <w:rsid w:val="00C3181A"/>
    <w:rsid w:val="00C357F7"/>
    <w:rsid w:val="00C43BBD"/>
    <w:rsid w:val="00C45896"/>
    <w:rsid w:val="00C51DA3"/>
    <w:rsid w:val="00C52FB5"/>
    <w:rsid w:val="00C53A1D"/>
    <w:rsid w:val="00C5440E"/>
    <w:rsid w:val="00C547E1"/>
    <w:rsid w:val="00C60046"/>
    <w:rsid w:val="00C624DC"/>
    <w:rsid w:val="00C63FE5"/>
    <w:rsid w:val="00C642B2"/>
    <w:rsid w:val="00C7009A"/>
    <w:rsid w:val="00C71E9B"/>
    <w:rsid w:val="00C71EF7"/>
    <w:rsid w:val="00C72EA3"/>
    <w:rsid w:val="00C83A4B"/>
    <w:rsid w:val="00C83CDD"/>
    <w:rsid w:val="00C949BC"/>
    <w:rsid w:val="00CA03F0"/>
    <w:rsid w:val="00CA0E09"/>
    <w:rsid w:val="00CA269A"/>
    <w:rsid w:val="00CA3F8A"/>
    <w:rsid w:val="00CB7BC6"/>
    <w:rsid w:val="00CC0596"/>
    <w:rsid w:val="00CC423C"/>
    <w:rsid w:val="00CC4BD9"/>
    <w:rsid w:val="00CD13A8"/>
    <w:rsid w:val="00CD1D66"/>
    <w:rsid w:val="00CD5D29"/>
    <w:rsid w:val="00CD6444"/>
    <w:rsid w:val="00CE7D6F"/>
    <w:rsid w:val="00CF068B"/>
    <w:rsid w:val="00CF394B"/>
    <w:rsid w:val="00CF449C"/>
    <w:rsid w:val="00CF6D90"/>
    <w:rsid w:val="00D00E81"/>
    <w:rsid w:val="00D03D21"/>
    <w:rsid w:val="00D06536"/>
    <w:rsid w:val="00D100AA"/>
    <w:rsid w:val="00D10748"/>
    <w:rsid w:val="00D142FB"/>
    <w:rsid w:val="00D14752"/>
    <w:rsid w:val="00D16747"/>
    <w:rsid w:val="00D17132"/>
    <w:rsid w:val="00D2128A"/>
    <w:rsid w:val="00D3218B"/>
    <w:rsid w:val="00D327C6"/>
    <w:rsid w:val="00D33BAA"/>
    <w:rsid w:val="00D37268"/>
    <w:rsid w:val="00D37C8C"/>
    <w:rsid w:val="00D4476F"/>
    <w:rsid w:val="00D55F51"/>
    <w:rsid w:val="00D6529A"/>
    <w:rsid w:val="00D65A66"/>
    <w:rsid w:val="00D95D67"/>
    <w:rsid w:val="00DA3C7A"/>
    <w:rsid w:val="00DB1766"/>
    <w:rsid w:val="00DB201A"/>
    <w:rsid w:val="00DB36AC"/>
    <w:rsid w:val="00DB73E8"/>
    <w:rsid w:val="00DC4218"/>
    <w:rsid w:val="00DD1F3A"/>
    <w:rsid w:val="00DD4909"/>
    <w:rsid w:val="00DD74F7"/>
    <w:rsid w:val="00DF6638"/>
    <w:rsid w:val="00E00DE0"/>
    <w:rsid w:val="00E07B66"/>
    <w:rsid w:val="00E23E4D"/>
    <w:rsid w:val="00E25804"/>
    <w:rsid w:val="00E266FC"/>
    <w:rsid w:val="00E30D39"/>
    <w:rsid w:val="00E3338A"/>
    <w:rsid w:val="00E366FB"/>
    <w:rsid w:val="00E42B39"/>
    <w:rsid w:val="00E46ACA"/>
    <w:rsid w:val="00E52327"/>
    <w:rsid w:val="00E53183"/>
    <w:rsid w:val="00E564AF"/>
    <w:rsid w:val="00E60254"/>
    <w:rsid w:val="00E63153"/>
    <w:rsid w:val="00E705CD"/>
    <w:rsid w:val="00E7090D"/>
    <w:rsid w:val="00E751A7"/>
    <w:rsid w:val="00E76C13"/>
    <w:rsid w:val="00E77951"/>
    <w:rsid w:val="00E823BD"/>
    <w:rsid w:val="00E82488"/>
    <w:rsid w:val="00E82879"/>
    <w:rsid w:val="00E86BBA"/>
    <w:rsid w:val="00E87698"/>
    <w:rsid w:val="00E91938"/>
    <w:rsid w:val="00E95040"/>
    <w:rsid w:val="00E95647"/>
    <w:rsid w:val="00E957D1"/>
    <w:rsid w:val="00E96FED"/>
    <w:rsid w:val="00EA2ED4"/>
    <w:rsid w:val="00EA3463"/>
    <w:rsid w:val="00EA36BE"/>
    <w:rsid w:val="00EA5373"/>
    <w:rsid w:val="00EB171C"/>
    <w:rsid w:val="00EC336A"/>
    <w:rsid w:val="00EC54AD"/>
    <w:rsid w:val="00EC57FE"/>
    <w:rsid w:val="00EC5F8C"/>
    <w:rsid w:val="00ED01ED"/>
    <w:rsid w:val="00ED12B5"/>
    <w:rsid w:val="00ED24DA"/>
    <w:rsid w:val="00ED41B2"/>
    <w:rsid w:val="00ED5A00"/>
    <w:rsid w:val="00EE207F"/>
    <w:rsid w:val="00EF0ABC"/>
    <w:rsid w:val="00EF5329"/>
    <w:rsid w:val="00EF584F"/>
    <w:rsid w:val="00EF675A"/>
    <w:rsid w:val="00F02ABC"/>
    <w:rsid w:val="00F03869"/>
    <w:rsid w:val="00F05139"/>
    <w:rsid w:val="00F05C3B"/>
    <w:rsid w:val="00F10A5E"/>
    <w:rsid w:val="00F11476"/>
    <w:rsid w:val="00F12F11"/>
    <w:rsid w:val="00F261EB"/>
    <w:rsid w:val="00F32CE0"/>
    <w:rsid w:val="00F35AB0"/>
    <w:rsid w:val="00F40119"/>
    <w:rsid w:val="00F632C6"/>
    <w:rsid w:val="00F71427"/>
    <w:rsid w:val="00F74035"/>
    <w:rsid w:val="00F74E9E"/>
    <w:rsid w:val="00F74FC2"/>
    <w:rsid w:val="00F829DE"/>
    <w:rsid w:val="00F86C7F"/>
    <w:rsid w:val="00F947B7"/>
    <w:rsid w:val="00F94FFC"/>
    <w:rsid w:val="00FA249B"/>
    <w:rsid w:val="00FB7EAB"/>
    <w:rsid w:val="00FC763C"/>
    <w:rsid w:val="00FD0416"/>
    <w:rsid w:val="00FD2EB6"/>
    <w:rsid w:val="00FE6CA5"/>
    <w:rsid w:val="00FF11B5"/>
    <w:rsid w:val="00FF6AD8"/>
  </w:rsids>
  <m:mathPr>
    <m:mathFont m:val="Cambria Math"/>
    <m:wrapRight/>
  </m:mathPr>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semiHidden="0"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HTML Top of Form" w:semiHidden="0" w:uiPriority="0" w:unhideWhenUsed="0"/>
    <w:lsdException w:name="HTML Bottom of Form"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semiHidden="0" w:uiPriority="0" w:unhideWhenUsed="0"/>
    <w:lsdException w:name="annotation subject" w:semiHidden="0" w:uiPriority="0" w:unhideWhenUsed="0"/>
    <w:lsdException w:name="No List" w:semiHidden="0" w:uiPriority="0" w:unhideWhenUsed="0"/>
    <w:lsdException w:name="Outline List 1" w:semiHidden="0" w:uiPriority="0" w:unhideWhenUsed="0"/>
    <w:lsdException w:name="Outline List 2" w:semiHidden="0" w:uiPriority="0" w:unhideWhenUsed="0"/>
    <w:lsdException w:name="Outline List 3"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default="1" w:styleId="Normal">
    <w:name w:val="Normal"/>
    <w:qFormat/>
    <w:rsid w:val="00133EAB"/>
    <w:pPr>
      <w:spacing w:before="120"/>
    </w:pPr>
    <w:rPr>
      <w:rFonts w:ascii="Verdana" w:hAnsi="Verdana"/>
      <w:lang w:val="en-US" w:eastAsia="es-ES" w:bidi="ar-SA"/>
    </w:rPr>
  </w:style>
  <w:style w:type="paragraph" w:styleId="Heading1">
    <w:name w:val="heading 1"/>
    <w:aliases w:val="ModelerHeading1"/>
    <w:basedOn w:val="Normal"/>
    <w:next w:val="Normal"/>
    <w:link w:val="Heading1Char"/>
    <w:autoRedefine/>
    <w:qFormat/>
    <w:rsid w:val="00216656"/>
    <w:pPr>
      <w:keepNext/>
      <w:pageBreakBefore/>
      <w:numPr>
        <w:ilvl w:val="0"/>
        <w:numId w:val="44"/>
      </w:numPr>
      <w:spacing w:before="0" w:after="60"/>
      <w:jc w:val="left"/>
      <w:outlineLvl w:val="0"/>
    </w:pPr>
    <w:rPr>
      <w:rFonts w:ascii="Segoe UI Semilight" w:hAnsi="Segoe UI Semilight"/>
      <w:iCs/>
      <w:caps/>
      <w:shadow/>
      <w:spacing w:val="50"/>
      <w:kern w:val="28"/>
      <w:sz w:val="40"/>
    </w:rPr>
  </w:style>
  <w:style w:type="paragraph" w:styleId="Heading2">
    <w:name w:val="heading 2"/>
    <w:basedOn w:val="Normal"/>
    <w:next w:val="Normal"/>
    <w:autoRedefine/>
    <w:qFormat/>
    <w:rsid w:val="00216656"/>
    <w:pPr>
      <w:keepNext/>
      <w:numPr>
        <w:ilvl w:val="1"/>
        <w:numId w:val="44"/>
      </w:numPr>
      <w:spacing w:before="240" w:after="100" w:afterAutospacing="1"/>
      <w:outlineLvl w:val="1"/>
    </w:pPr>
    <w:rPr>
      <w:rFonts w:ascii="Segoe UI Semilight" w:hAnsi="Segoe UI Semilight"/>
      <w:b/>
      <w:caps/>
      <w:spacing w:val="98"/>
      <w:sz w:val="28"/>
      <w:szCs w:val="28"/>
      <w:lang w:val="es-ES_tradnl"/>
    </w:rPr>
  </w:style>
  <w:style w:type="paragraph" w:styleId="Heading3">
    <w:name w:val="heading 3"/>
    <w:basedOn w:val="Normal"/>
    <w:next w:val="Normal"/>
    <w:autoRedefine/>
    <w:qFormat/>
    <w:rsid w:val="00216656"/>
    <w:pPr>
      <w:keepNext/>
      <w:numPr>
        <w:ilvl w:val="2"/>
        <w:numId w:val="44"/>
      </w:numPr>
      <w:pBdr>
        <w:top w:val="single" w:sz="4" w:space="1" w:color="auto"/>
      </w:pBdr>
      <w:spacing w:before="240" w:after="60"/>
      <w:outlineLvl w:val="2"/>
    </w:pPr>
    <w:rPr>
      <w:rFonts w:ascii="Segoe UI Semilight" w:hAnsi="Segoe UI Semilight"/>
      <w:b/>
      <w:caps/>
      <w:sz w:val="24"/>
      <w:szCs w:val="24"/>
    </w:rPr>
  </w:style>
  <w:style w:type="paragraph" w:styleId="Heading4">
    <w:name w:val="heading 4"/>
    <w:basedOn w:val="Normal"/>
    <w:next w:val="Normal4"/>
    <w:qFormat/>
    <w:rsid w:val="00216656"/>
    <w:pPr>
      <w:keepNext/>
      <w:numPr>
        <w:ilvl w:val="3"/>
        <w:numId w:val="44"/>
      </w:numPr>
      <w:spacing w:after="60"/>
      <w:outlineLvl w:val="3"/>
    </w:pPr>
    <w:rPr>
      <w:rFonts w:ascii="Segoe UI Semilight" w:hAnsi="Segoe UI Semilight"/>
      <w:b/>
      <w:bCs/>
    </w:rPr>
  </w:style>
  <w:style w:type="paragraph" w:styleId="Heading5">
    <w:name w:val="heading 5"/>
    <w:basedOn w:val="Normal"/>
    <w:next w:val="Normal5"/>
    <w:autoRedefine/>
    <w:qFormat/>
    <w:rsid w:val="00216656"/>
    <w:pPr>
      <w:numPr>
        <w:ilvl w:val="4"/>
        <w:numId w:val="44"/>
      </w:numPr>
      <w:outlineLvl w:val="4"/>
    </w:pPr>
    <w:rPr>
      <w:rFonts w:ascii="Segoe UI Semilight" w:hAnsi="Segoe UI Semilight"/>
      <w:b/>
      <w:bCs/>
      <w:iCs/>
    </w:rPr>
  </w:style>
  <w:style w:type="paragraph" w:styleId="Heading6">
    <w:name w:val="heading 6"/>
    <w:basedOn w:val="Normal"/>
    <w:next w:val="Normal"/>
    <w:autoRedefine/>
    <w:qFormat/>
    <w:rsid w:val="00216656"/>
    <w:pPr>
      <w:numPr>
        <w:ilvl w:val="5"/>
        <w:numId w:val="44"/>
      </w:numPr>
      <w:spacing w:before="240" w:after="60"/>
      <w:outlineLvl w:val="5"/>
    </w:pPr>
    <w:rPr>
      <w:rFonts w:ascii="Segoe UI Semilight" w:hAnsi="Segoe UI Semilight"/>
      <w:bCs/>
    </w:rPr>
  </w:style>
  <w:style w:type="paragraph" w:styleId="Heading7">
    <w:name w:val="heading 7"/>
    <w:basedOn w:val="Normal"/>
    <w:next w:val="Normal"/>
    <w:qFormat/>
    <w:rsid w:val="00216656"/>
    <w:pPr>
      <w:numPr>
        <w:ilvl w:val="6"/>
        <w:numId w:val="44"/>
      </w:numPr>
      <w:spacing w:before="240" w:after="60"/>
      <w:outlineLvl w:val="6"/>
    </w:pPr>
    <w:rPr>
      <w:rFonts w:ascii="Segoe UI Semilight" w:hAnsi="Segoe UI Semilight"/>
      <w:sz w:val="24"/>
      <w:szCs w:val="24"/>
    </w:rPr>
  </w:style>
  <w:style w:type="paragraph" w:styleId="Heading8">
    <w:name w:val="heading 8"/>
    <w:basedOn w:val="Normal"/>
    <w:next w:val="Normal"/>
    <w:qFormat/>
    <w:rsid w:val="00216656"/>
    <w:pPr>
      <w:numPr>
        <w:ilvl w:val="7"/>
        <w:numId w:val="44"/>
      </w:numPr>
      <w:spacing w:before="240" w:after="60"/>
      <w:outlineLvl w:val="7"/>
    </w:pPr>
    <w:rPr>
      <w:rFonts w:ascii="Segoe UI Semilight" w:hAnsi="Segoe UI Semilight"/>
      <w:i/>
      <w:iCs/>
      <w:sz w:val="24"/>
      <w:szCs w:val="24"/>
    </w:rPr>
  </w:style>
  <w:style w:type="paragraph" w:styleId="Heading9">
    <w:name w:val="heading 9"/>
    <w:basedOn w:val="Normal"/>
    <w:next w:val="Normal"/>
    <w:qFormat/>
    <w:rsid w:val="00216656"/>
    <w:pPr>
      <w:numPr>
        <w:ilvl w:val="8"/>
        <w:numId w:val="44"/>
      </w:numPr>
      <w:spacing w:before="240" w:after="60"/>
      <w:outlineLvl w:val="8"/>
    </w:pPr>
    <w:rPr>
      <w:rFonts w:ascii="Segoe UI Semilight" w:hAnsi="Segoe UI Semilight" w:cs="Arial"/>
      <w:sz w:val="22"/>
      <w:szCs w:val="2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customStyle="1" w:styleId="Heading1Char">
    <w:name w:val="Heading 1 Char"/>
    <w:aliases w:val="ModelerHeading1 Char"/>
    <w:link w:val="Heading1"/>
    <w:rsid w:val="00216656"/>
    <w:rPr>
      <w:rFonts w:ascii="Segoe UI Semilight" w:hAnsi="Segoe UI Semilight"/>
      <w:iCs/>
      <w:caps/>
      <w:shadow/>
      <w:spacing w:val="50"/>
      <w:kern w:val="28"/>
      <w:sz w:val="40"/>
      <w:lang w:val="en-US" w:eastAsia="es-ES"/>
    </w:rPr>
  </w:style>
  <w:style w:type="paragraph" w:styleId="TOC1">
    <w:name w:val="toc 1"/>
    <w:basedOn w:val="Normal"/>
    <w:next w:val="Normal"/>
    <w:autoRedefine/>
    <w:semiHidden/>
    <w:rsid w:val="00C43BBD"/>
    <w:pPr>
      <w:jc w:val="left"/>
    </w:pPr>
    <w:rPr>
      <w:caps/>
      <w:lang w:val="es-ES_tradnl"/>
    </w:rPr>
  </w:style>
  <w:style w:type="paragraph" w:styleId="TOC2">
    <w:name w:val="toc 2"/>
    <w:basedOn w:val="Normal"/>
    <w:next w:val="Normal"/>
    <w:autoRedefine/>
    <w:semiHidden/>
    <w:rsid w:val="00C43BBD"/>
    <w:pPr>
      <w:tabs>
        <w:tab w:val="right" w:leader="dot" w:pos="8828"/>
      </w:tabs>
      <w:spacing w:before="0"/>
      <w:ind w:left="198"/>
    </w:pPr>
    <w:rPr>
      <w:smallCaps/>
    </w:rPr>
  </w:style>
  <w:style w:type="paragraph" w:styleId="TOC3">
    <w:name w:val="toc 3"/>
    <w:basedOn w:val="Normal"/>
    <w:next w:val="Normal"/>
    <w:autoRedefine/>
    <w:semiHidden/>
    <w:rsid w:val="00A55D18"/>
    <w:pPr>
      <w:tabs>
        <w:tab w:val="right" w:leader="dot" w:pos="8828"/>
      </w:tabs>
      <w:spacing w:before="0"/>
      <w:ind w:left="403"/>
    </w:pPr>
    <w:rPr>
      <w:noProof/>
      <w:color w:val="000000"/>
      <w:lang w:val="es-ES"/>
    </w:rPr>
  </w:style>
  <w:style w:type="character" w:styleId="Hyperlink">
    <w:name w:val="Hyperlink"/>
    <w:rsid w:val="00A55D18"/>
    <w:rPr>
      <w:color w:val="0000FF"/>
      <w:u w:val="single"/>
    </w:rPr>
  </w:style>
  <w:style w:type="paragraph" w:styleId="Header">
    <w:name w:val="header"/>
    <w:basedOn w:val="Normal"/>
    <w:rsid w:val="00A55D18"/>
    <w:pPr>
      <w:tabs>
        <w:tab w:val="center" w:pos="4419"/>
        <w:tab w:val="right" w:pos="8838"/>
      </w:tabs>
    </w:pPr>
  </w:style>
  <w:style w:type="paragraph" w:styleId="Footer">
    <w:name w:val="footer"/>
    <w:basedOn w:val="Normal"/>
    <w:rsid w:val="00A55D18"/>
    <w:pPr>
      <w:tabs>
        <w:tab w:val="center" w:pos="4419"/>
        <w:tab w:val="right" w:pos="8838"/>
      </w:tabs>
    </w:pPr>
  </w:style>
  <w:style w:type="character" w:styleId="PageNumber">
    <w:name w:val="page number"/>
    <w:basedOn w:val="DefaultParagraphFont"/>
    <w:rsid w:val="00A55D18"/>
  </w:style>
  <w:style w:type="paragraph" w:customStyle="1" w:styleId="Titular">
    <w:name w:val="Titular"/>
    <w:basedOn w:val="Heading1"/>
    <w:link w:val="TitularChar"/>
    <w:semiHidden/>
    <w:rsid w:val="00A55D18"/>
    <w:rPr>
      <w:color w:val="333333"/>
    </w:rPr>
  </w:style>
  <w:style w:type="character" w:customStyle="1" w:styleId="TitularChar">
    <w:name w:val="Titular Char"/>
    <w:link w:val="Titular"/>
    <w:rsid w:val="00A55D18"/>
    <w:rPr>
      <w:rFonts w:ascii="Humanst521 BT" w:hAnsi="Humanst521 BT"/>
      <w:iCs/>
      <w:caps/>
      <w:shadow/>
      <w:color w:val="333333"/>
      <w:spacing w:val="50"/>
      <w:kern w:val="28"/>
      <w:sz w:val="40"/>
      <w:lang w:val="es-CO" w:eastAsia="es-ES" w:bidi="ar-SA"/>
    </w:rPr>
  </w:style>
  <w:style w:type="paragraph" w:styleId="BodyText">
    <w:name w:val="Body Text"/>
    <w:basedOn w:val="Normal"/>
    <w:link w:val="BodyTextChar"/>
    <w:rsid w:val="004255C7"/>
    <w:pPr>
      <w:spacing w:before="0"/>
    </w:pPr>
    <w:rPr>
      <w:bCs/>
    </w:rPr>
  </w:style>
  <w:style w:type="table" w:styleId="TableGrid">
    <w:name w:val="Table Grid"/>
    <w:basedOn w:val="TableNormal"/>
    <w:semiHidden/>
    <w:rsid w:val="004255C7"/>
    <w:pPr>
      <w:spacing w:before="12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semiHidden/>
    <w:rsid w:val="00AE3ACF"/>
  </w:style>
  <w:style w:type="character" w:styleId="FootnoteReference">
    <w:name w:val="footnote reference"/>
    <w:semiHidden/>
    <w:rsid w:val="00AE3ACF"/>
    <w:rPr>
      <w:vertAlign w:val="superscript"/>
    </w:rPr>
  </w:style>
  <w:style w:type="paragraph" w:customStyle="1" w:styleId="StyleTitularBold">
    <w:name w:val="Style Titular + Bold"/>
    <w:basedOn w:val="Titular"/>
    <w:autoRedefine/>
    <w:rsid w:val="008C2CEA"/>
    <w:pPr>
      <w:pageBreakBefore w:val="0"/>
    </w:pPr>
    <w:rPr>
      <w:b/>
      <w:bCs/>
      <w:iCs w:val="0"/>
      <w:szCs w:val="40"/>
    </w:rPr>
  </w:style>
  <w:style w:type="paragraph" w:customStyle="1" w:styleId="Aviso">
    <w:name w:val="Aviso"/>
    <w:basedOn w:val="Normal"/>
    <w:autoRedefine/>
    <w:rsid w:val="0033264A"/>
    <w:pPr>
      <w:spacing w:before="0"/>
      <w:jc w:val="left"/>
    </w:pPr>
    <w:rPr>
      <w:b/>
      <w:sz w:val="15"/>
      <w:szCs w:val="15"/>
      <w:lang w:val="es-ES_tradnl"/>
    </w:rPr>
  </w:style>
  <w:style w:type="paragraph" w:customStyle="1" w:styleId="TitularInicio">
    <w:name w:val="TitularInicio"/>
    <w:basedOn w:val="StyleTitularBold"/>
    <w:autoRedefine/>
    <w:rsid w:val="005A0321"/>
    <w:pPr>
      <w:numPr>
        <w:ilvl w:val="0"/>
        <w:numId w:val="0"/>
      </w:numPr>
    </w:pPr>
    <w:rPr>
      <w:color w:val="0081C6"/>
    </w:rPr>
  </w:style>
  <w:style w:type="numbering" w:customStyle="1" w:styleId="Lista">
    <w:name w:val="Lista"/>
    <w:basedOn w:val="NoList"/>
    <w:rsid w:val="007741DF"/>
    <w:pPr>
      <w:numPr>
        <w:numId w:val="37"/>
      </w:numPr>
    </w:pPr>
  </w:style>
  <w:style w:type="paragraph" w:customStyle="1" w:styleId="Normal4">
    <w:name w:val="Normal4"/>
    <w:basedOn w:val="Normal"/>
    <w:rsid w:val="00216656"/>
    <w:pPr>
      <w:ind w:left="504"/>
    </w:pPr>
    <w:rPr>
      <w:rFonts w:ascii="Segoe UI Semilight" w:hAnsi="Segoe UI Semilight"/>
      <w:lang w:val="es-ES_tradnl"/>
    </w:rPr>
  </w:style>
  <w:style w:type="paragraph" w:styleId="TOC5">
    <w:name w:val="toc 5"/>
    <w:basedOn w:val="Normal"/>
    <w:next w:val="Normal"/>
    <w:autoRedefine/>
    <w:semiHidden/>
    <w:rsid w:val="00854218"/>
    <w:pPr>
      <w:ind w:left="800"/>
    </w:pPr>
  </w:style>
  <w:style w:type="paragraph" w:customStyle="1" w:styleId="Normal5">
    <w:name w:val="Normal5"/>
    <w:basedOn w:val="Normal"/>
    <w:rsid w:val="000774A1"/>
    <w:pPr>
      <w:ind w:left="1440"/>
    </w:pPr>
  </w:style>
  <w:style w:type="paragraph" w:customStyle="1" w:styleId="bizNormal">
    <w:name w:val="bizNormal"/>
    <w:basedOn w:val="Normal"/>
    <w:rsid w:val="00216656"/>
    <w:rPr>
      <w:rFonts w:ascii="Segoe UI Semilight" w:hAnsi="Segoe UI Semilight"/>
    </w:rPr>
  </w:style>
  <w:style w:type="paragraph" w:customStyle="1" w:styleId="bizHeading1">
    <w:name w:val="bizHeading1"/>
    <w:basedOn w:val="Heading1"/>
    <w:next w:val="Normal"/>
    <w:rsid w:val="005A0321"/>
    <w:rPr>
      <w:color w:val="0081C6"/>
      <w:sz w:val="32"/>
    </w:rPr>
  </w:style>
  <w:style w:type="paragraph" w:customStyle="1" w:styleId="bizHeading2">
    <w:name w:val="bizHeading2"/>
    <w:basedOn w:val="Heading2"/>
    <w:next w:val="Normal"/>
    <w:rsid w:val="00C83CDD"/>
    <w:rPr>
      <w:color w:val="0081C6"/>
      <w:lang w:val="en-US"/>
    </w:rPr>
  </w:style>
  <w:style w:type="paragraph" w:customStyle="1" w:styleId="bizHeading3">
    <w:name w:val="bizHeading3"/>
    <w:basedOn w:val="Heading3"/>
    <w:next w:val="Normal"/>
    <w:rsid w:val="005A0321"/>
    <w:rPr>
      <w:color w:val="0081C6"/>
    </w:rPr>
  </w:style>
  <w:style w:type="paragraph" w:customStyle="1" w:styleId="bizHeading4">
    <w:name w:val="bizHeading4"/>
    <w:basedOn w:val="Heading4"/>
    <w:next w:val="Normal4"/>
    <w:rsid w:val="005A0321"/>
    <w:rPr>
      <w:color w:val="0081C6"/>
    </w:rPr>
  </w:style>
  <w:style w:type="paragraph" w:customStyle="1" w:styleId="bizHeading5">
    <w:name w:val="bizHeading5"/>
    <w:basedOn w:val="Heading5"/>
    <w:next w:val="Normal5"/>
    <w:rsid w:val="005A0321"/>
    <w:rPr>
      <w:color w:val="0081C6"/>
    </w:rPr>
  </w:style>
  <w:style w:type="paragraph" w:styleId="BalloonText">
    <w:name w:val="Balloon Text"/>
    <w:basedOn w:val="Normal"/>
    <w:link w:val="BalloonTextChar"/>
    <w:rsid w:val="008C2CEA"/>
    <w:pPr>
      <w:spacing w:before="0"/>
    </w:pPr>
    <w:rPr>
      <w:rFonts w:ascii="Tahoma" w:hAnsi="Tahoma" w:cs="Tahoma"/>
      <w:sz w:val="16"/>
      <w:szCs w:val="16"/>
    </w:rPr>
  </w:style>
  <w:style w:type="character" w:customStyle="1" w:styleId="BalloonTextChar">
    <w:name w:val="Balloon Text Char"/>
    <w:link w:val="BalloonText"/>
    <w:rsid w:val="008C2CEA"/>
    <w:rPr>
      <w:rFonts w:ascii="Tahoma" w:hAnsi="Tahoma" w:cs="Tahoma"/>
      <w:sz w:val="16"/>
      <w:szCs w:val="16"/>
      <w:lang w:val="es-CO" w:eastAsia="es-ES"/>
    </w:rPr>
  </w:style>
  <w:style w:type="paragraph" w:customStyle="1" w:styleId="ModelerNormal">
    <w:name w:val="ModelerNormal"/>
    <w:basedOn w:val="Normal"/>
    <w:qFormat/>
    <w:rsid w:val="00216656"/>
    <w:rPr>
      <w:rFonts w:ascii="Segoe UI Semilight" w:hAnsi="Segoe UI Semilight"/>
    </w:rPr>
  </w:style>
  <w:style w:type="paragraph" w:customStyle="1" w:styleId="bizHeadingBAS3">
    <w:name w:val="bizHeadingBAS3"/>
    <w:basedOn w:val="bizHeading3"/>
    <w:next w:val="Normal"/>
    <w:rsid w:val="00F11476"/>
    <w:pPr>
      <w:pBdr>
        <w:top w:val="none" w:sz="0" w:space="0" w:color="auto"/>
      </w:pBdr>
    </w:pPr>
    <w:rPr>
      <w:caps w:val="0"/>
      <w:sz w:val="20"/>
    </w:rPr>
  </w:style>
  <w:style w:type="paragraph" w:customStyle="1" w:styleId="bizHeadingBAS2">
    <w:name w:val="bizHeadingBAS2"/>
    <w:basedOn w:val="bizHeading2"/>
    <w:next w:val="Normal"/>
    <w:rsid w:val="00216656"/>
    <w:rPr>
      <w:sz w:val="24"/>
    </w:rPr>
  </w:style>
  <w:style w:type="paragraph" w:customStyle="1" w:styleId="bizHeadingBAS1">
    <w:name w:val="bizHeadingBAS1"/>
    <w:basedOn w:val="bizHeading1"/>
    <w:next w:val="Normal"/>
    <w:qFormat/>
    <w:rsid w:val="00216656"/>
    <w:pPr>
      <w:numPr>
        <w:ilvl w:val="0"/>
        <w:numId w:val="46"/>
      </w:numPr>
    </w:pPr>
    <w:rPr>
      <w:rFonts w:ascii="Segoe UI Semilight" w:hAnsi="Segoe UI Semilight"/>
    </w:rPr>
  </w:style>
  <w:style w:type="paragraph" w:customStyle="1" w:styleId="bizTitle">
    <w:name w:val="bizTitle"/>
    <w:basedOn w:val="Title"/>
    <w:next w:val="Title"/>
    <w:link w:val="bizTitleChar"/>
    <w:qFormat/>
    <w:rsid w:val="005A0321"/>
    <w:pPr>
      <w:jc w:val="right"/>
    </w:pPr>
    <w:rPr>
      <w:rFonts w:ascii="Segoe UI" w:hAnsi="Segoe UI"/>
      <w:color w:val="0081C6"/>
      <w:sz w:val="48"/>
    </w:rPr>
  </w:style>
  <w:style w:type="paragraph" w:customStyle="1" w:styleId="bizSubtitle">
    <w:name w:val="bizSubtitle"/>
    <w:basedOn w:val="Subtitle"/>
    <w:next w:val="Subtitle"/>
    <w:link w:val="bizSubtitleChar"/>
    <w:qFormat/>
    <w:rsid w:val="005A0321"/>
    <w:pPr>
      <w:jc w:val="right"/>
    </w:pPr>
    <w:rPr>
      <w:rFonts w:ascii="Segoe UI Semilight" w:hAnsi="Segoe UI Semilight"/>
      <w:color w:val="0081C6"/>
      <w:sz w:val="32"/>
    </w:rPr>
  </w:style>
  <w:style w:type="character" w:customStyle="1" w:styleId="BodyTextChar">
    <w:name w:val="Body Text Char"/>
    <w:link w:val="BodyText"/>
    <w:rsid w:val="004F1444"/>
    <w:rPr>
      <w:rFonts w:ascii="Verdana" w:hAnsi="Verdana"/>
      <w:bCs/>
      <w:lang w:eastAsia="es-ES"/>
    </w:rPr>
  </w:style>
  <w:style w:type="paragraph" w:customStyle="1" w:styleId="bizHeadingBAS11">
    <w:name w:val="bizHeadingBAS1_1"/>
    <w:basedOn w:val="bizHeadingBAS1"/>
    <w:next w:val="Normal"/>
    <w:qFormat/>
    <w:rsid w:val="004F1444"/>
    <w:pPr>
      <w:numPr>
        <w:ilvl w:val="0"/>
        <w:numId w:val="0"/>
      </w:numPr>
    </w:pPr>
  </w:style>
  <w:style w:type="paragraph" w:styleId="Title">
    <w:name w:val="Title"/>
    <w:basedOn w:val="Normal"/>
    <w:next w:val="Normal"/>
    <w:link w:val="TitleChar"/>
    <w:qFormat/>
    <w:rsid w:val="00216656"/>
    <w:pPr>
      <w:spacing w:before="240" w:after="60"/>
      <w:jc w:val="center"/>
      <w:outlineLvl w:val="0"/>
    </w:pPr>
    <w:rPr>
      <w:rFonts w:ascii="Segoe UI Semilight" w:hAnsi="Segoe UI Semilight" w:cs="Vrinda"/>
      <w:b/>
      <w:bCs/>
      <w:kern w:val="28"/>
      <w:sz w:val="32"/>
      <w:szCs w:val="32"/>
    </w:rPr>
  </w:style>
  <w:style w:type="character" w:customStyle="1" w:styleId="TitleChar">
    <w:name w:val="Title Char"/>
    <w:link w:val="Title"/>
    <w:rsid w:val="00216656"/>
    <w:rPr>
      <w:rFonts w:ascii="Segoe UI Semilight" w:hAnsi="Segoe UI Semilight" w:cs="Vrinda"/>
      <w:b/>
      <w:bCs/>
      <w:kern w:val="28"/>
      <w:sz w:val="32"/>
      <w:szCs w:val="32"/>
      <w:lang w:val="en-US" w:eastAsia="es-ES"/>
    </w:rPr>
  </w:style>
  <w:style w:type="character" w:customStyle="1" w:styleId="bizTitleChar">
    <w:name w:val="bizTitle Char"/>
    <w:link w:val="bizTitle"/>
    <w:rsid w:val="005A0321"/>
    <w:rPr>
      <w:rFonts w:ascii="Segoe UI" w:hAnsi="Segoe UI" w:cs="Vrinda"/>
      <w:b/>
      <w:bCs/>
      <w:color w:val="0081C6"/>
      <w:kern w:val="28"/>
      <w:sz w:val="48"/>
      <w:szCs w:val="32"/>
      <w:lang w:val="en-US" w:eastAsia="es-ES"/>
    </w:rPr>
  </w:style>
  <w:style w:type="paragraph" w:customStyle="1" w:styleId="BoldModelerNormal">
    <w:name w:val="BoldModelerNormal"/>
    <w:basedOn w:val="ModelerNormal"/>
    <w:next w:val="ModelerNormal"/>
    <w:qFormat/>
    <w:rsid w:val="003C45DE"/>
    <w:rPr>
      <w:b/>
    </w:rPr>
  </w:style>
  <w:style w:type="paragraph" w:styleId="Subtitle">
    <w:name w:val="Subtitle"/>
    <w:basedOn w:val="Normal"/>
    <w:next w:val="Normal"/>
    <w:link w:val="SubtitleChar"/>
    <w:qFormat/>
    <w:rsid w:val="00100479"/>
    <w:pPr>
      <w:spacing w:after="60"/>
      <w:jc w:val="center"/>
      <w:outlineLvl w:val="1"/>
    </w:pPr>
    <w:rPr>
      <w:rFonts w:ascii="Cambria" w:eastAsia="Times New Roman" w:hAnsi="Cambria" w:cs="Vrinda"/>
      <w:sz w:val="24"/>
      <w:szCs w:val="24"/>
    </w:rPr>
  </w:style>
  <w:style w:type="character" w:customStyle="1" w:styleId="SubtitleChar">
    <w:name w:val="Subtitle Char"/>
    <w:link w:val="Subtitle"/>
    <w:rsid w:val="00100479"/>
    <w:rPr>
      <w:rFonts w:ascii="Cambria" w:eastAsia="Times New Roman" w:hAnsi="Cambria" w:cs="Vrinda"/>
      <w:sz w:val="24"/>
      <w:szCs w:val="24"/>
      <w:lang w:val="en-US" w:eastAsia="es-ES" w:bidi="ar-SA"/>
    </w:rPr>
  </w:style>
  <w:style w:type="character" w:customStyle="1" w:styleId="bizSubtitleChar">
    <w:name w:val="bizSubtitle Char"/>
    <w:link w:val="bizSubtitle"/>
    <w:rsid w:val="005A0321"/>
    <w:rPr>
      <w:rFonts w:ascii="Segoe UI Semilight" w:hAnsi="Segoe UI Semilight" w:cs="Vrinda"/>
      <w:color w:val="0081C6"/>
      <w:sz w:val="32"/>
      <w:szCs w:val="24"/>
      <w:lang w:val="en-US" w:eastAsia="es-ES"/>
    </w:rPr>
  </w:style>
  <w:style w:type="paragraph" w:styleId="TOC4">
    <w:name w:val="toc 4"/>
    <w:basedOn w:val="Normal"/>
    <w:next w:val="Normal"/>
    <w:autoRedefine/>
    <w:rsid w:val="00805BCE"/>
    <w:pPr>
      <w:ind w:left="720"/>
    </w:pPr>
  </w:style>
</w:styles>
</file>

<file path=word/webSettings.xml><?xml version="1.0" encoding="utf-8"?>
<w:webSettings xmlns:r="http://schemas.openxmlformats.org/officeDocument/2006/relationships" xmlns:w="http://schemas.openxmlformats.org/wordprocessingml/2006/main">
  <w:encoding w:val="windows-1252"/>
</w:webSettings>
</file>

<file path=word/_rels/document.xml.rels>&#65279;<?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image" Target="media/image4.png" /><Relationship Id="rId11" Type="http://schemas.openxmlformats.org/officeDocument/2006/relationships/image" Target="media/image5.emf" /><Relationship Id="rId12" Type="http://schemas.openxmlformats.org/officeDocument/2006/relationships/numbering" Target="numbering.xml" /><Relationship Id="rId13"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eader" Target="header1.xml" /><Relationship Id="rId6" Type="http://schemas.openxmlformats.org/officeDocument/2006/relationships/footer" Target="footer1.xml" /><Relationship Id="rId7" Type="http://schemas.openxmlformats.org/officeDocument/2006/relationships/image" Target="media/image1.png" /><Relationship Id="rId8" Type="http://schemas.openxmlformats.org/officeDocument/2006/relationships/image" Target="media/image2.png" /><Relationship Id="rId9" Type="http://schemas.openxmlformats.org/officeDocument/2006/relationships/image" Target="media/image3.png" /></Relationships>
</file>

<file path=customXml/_rels/item1.xml.rels>&#65279;<?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F89EFD2-4B14-49F4-A27B-B3F3661A7F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ModelerTemplate.dot</Template>
  <TotalTime>0</TotalTime>
  <Pages>15</Pages>
  <Words>0</Words>
  <Characters>2</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03598064225</dc:creator>
  <cp:lastModifiedBy>03598064225</cp:lastModifiedBy>
  <cp:revision>1</cp:revision>
  <dcterms:created xsi:type="dcterms:W3CDTF">2018-07-11T18:32:00Z</dcterms:created>
  <dcterms:modified xsi:type="dcterms:W3CDTF">2018-07-11T18:33:00Z</dcterms:modified>
</cp:coreProperties>
</file>