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9.3 -->
  <w:body>
    <w:p w:rsidR="00B603BE" w:rsidRPr="008D2D31" w:rsidP="002D61C1">
      <w:pPr>
        <w:pStyle w:val="BoldModelerNormal"/>
      </w:pPr>
    </w:p>
    <w:p w:rsidR="00216656" w:rsidP="002D61C1">
      <w:pPr>
        <w:pStyle w:val="BoldModelerNormal"/>
      </w:pPr>
    </w:p>
    <w:p w:rsidR="00216656" w:rsidP="002D61C1">
      <w:pPr>
        <w:pStyle w:val="BoldModelerNormal"/>
      </w:pPr>
    </w:p>
    <w:p w:rsidR="00216656" w:rsidP="002D61C1">
      <w:pPr>
        <w:pStyle w:val="BoldModelerNormal"/>
      </w:pPr>
    </w:p>
    <w:p w:rsidR="00216656" w:rsidP="002D61C1">
      <w:pPr>
        <w:pStyle w:val="BoldModelerNormal"/>
      </w:pPr>
    </w:p>
    <w:p w:rsidR="00216656" w:rsidP="002D61C1">
      <w:pPr>
        <w:pStyle w:val="BoldModelerNormal"/>
      </w:pPr>
    </w:p>
    <w:p w:rsidR="00216656" w:rsidP="002D61C1">
      <w:pPr>
        <w:pStyle w:val="BoldModelerNormal"/>
      </w:pPr>
    </w:p>
    <w:p w:rsidR="00216656" w:rsidP="002D61C1">
      <w:pPr>
        <w:pStyle w:val="BoldModelerNormal"/>
      </w:pPr>
    </w:p>
    <w:p w:rsidR="00216656" w:rsidP="002D61C1">
      <w:pPr>
        <w:pStyle w:val="BoldModelerNormal"/>
      </w:pPr>
    </w:p>
    <w:p w:rsidR="00216656" w:rsidP="002D61C1">
      <w:pPr>
        <w:pStyle w:val="bizTitle"/>
        <w:jc w:val="right"/>
      </w:pPr>
      <w:bookmarkStart w:id="0" w:name="_Toc256000000"/>
      <w:r>
        <w:t>Redesenhos dos fluxos de tratamento e distribuição da bolsas de hemocomponentes (ciclo do sangue) 2.0</w:t>
      </w:r>
      <w:bookmarkEnd w:id="0"/>
    </w:p>
    <w:p w:rsidR="00216656" w:rsidP="002D61C1">
      <w:pPr>
        <w:pStyle w:val="bizSubtitle"/>
        <w:jc w:val="right"/>
      </w:pPr>
      <w:bookmarkStart w:id="1" w:name="_Toc256000001"/>
      <w:r>
        <w:t>Bizagi Modeler</w:t>
      </w:r>
      <w:bookmarkEnd w:id="1"/>
    </w:p>
    <w:p w:rsidR="00216656">
      <w:pPr>
        <w:sectPr w:rsidSect="00B603BE">
          <w:headerReference w:type="default" r:id="rId5"/>
          <w:footerReference w:type="default" r:id="rId6"/>
          <w:pgSz w:w="12240" w:h="15840" w:code="1"/>
          <w:pgMar w:top="1616" w:right="1701" w:bottom="1418" w:left="1701" w:header="709" w:footer="255" w:gutter="0"/>
          <w:cols w:space="708"/>
          <w:titlePg/>
          <w:docGrid w:linePitch="360"/>
        </w:sectPr>
      </w:pPr>
      <w:r>
        <w:tab/>
      </w:r>
    </w:p>
    <w:p w:rsidR="00AE3ACF" w:rsidRPr="008D2D31" w:rsidP="00854218">
      <w:pPr>
        <w:jc w:val="center"/>
      </w:pPr>
      <w:r w:rsidRPr="008D2D31">
        <w:t>Índice</w:t>
      </w:r>
      <w:r w:rsidRPr="008D2D31">
        <w:fldChar w:fldCharType="begin"/>
      </w:r>
      <w:r w:rsidRPr="008D2D31">
        <w:instrText>TOC \o "1-4" \h \z \u</w:instrText>
      </w:r>
      <w:r w:rsidRPr="008D2D31">
        <w:fldChar w:fldCharType="separate"/>
      </w:r>
    </w:p>
    <w:p>
      <w:pPr>
        <w:pStyle w:val="TOC1"/>
        <w:tabs>
          <w:tab w:val="right" w:leader="dot" w:pos="8828"/>
        </w:tabs>
        <w:rPr>
          <w:rFonts w:ascii="Calibri" w:hAnsi="Calibri"/>
          <w:noProof/>
          <w:sz w:val="22"/>
        </w:rPr>
      </w:pPr>
      <w:hyperlink w:anchor="_Toc256000000" w:history="1">
        <w:r w:rsidR="00216656">
          <w:rPr>
            <w:rStyle w:val="Hyperlink"/>
          </w:rPr>
          <w:t>Redesenhos dos fluxos de tratamento e distribuição da bolsas de hemocomponentes (ciclo do sangue) 2.0</w:t>
        </w:r>
        <w:r>
          <w:tab/>
        </w:r>
        <w:r>
          <w:fldChar w:fldCharType="begin"/>
        </w:r>
        <w:r>
          <w:instrText xml:space="preserve"> PAGEREF _Toc256000000 \h </w:instrText>
        </w:r>
        <w:r>
          <w:fldChar w:fldCharType="separate"/>
        </w:r>
        <w:r>
          <w:t>1</w:t>
        </w:r>
        <w:r>
          <w:fldChar w:fldCharType="end"/>
        </w:r>
      </w:hyperlink>
    </w:p>
    <w:p>
      <w:pPr>
        <w:pStyle w:val="TOC2"/>
        <w:rPr>
          <w:rFonts w:ascii="Calibri" w:hAnsi="Calibri"/>
          <w:noProof/>
          <w:sz w:val="22"/>
        </w:rPr>
      </w:pPr>
      <w:hyperlink w:anchor="_Toc256000001" w:history="1">
        <w:r w:rsidR="00216656">
          <w:rPr>
            <w:rStyle w:val="Hyperlink"/>
          </w:rPr>
          <w:t>Bizagi Modeler</w:t>
        </w:r>
        <w:r>
          <w:tab/>
        </w:r>
        <w:r>
          <w:fldChar w:fldCharType="begin"/>
        </w:r>
        <w:r>
          <w:instrText xml:space="preserve"> PAGEREF _Toc256000001 \h </w:instrText>
        </w:r>
        <w:r>
          <w:fldChar w:fldCharType="separate"/>
        </w:r>
        <w:r>
          <w:t>1</w:t>
        </w:r>
        <w:r>
          <w:fldChar w:fldCharType="end"/>
        </w:r>
      </w:hyperlink>
    </w:p>
    <w:p>
      <w:pPr>
        <w:pStyle w:val="TOC1"/>
        <w:tabs>
          <w:tab w:val="left" w:pos="403"/>
          <w:tab w:val="right" w:leader="dot" w:pos="8828"/>
        </w:tabs>
        <w:rPr>
          <w:rFonts w:ascii="Calibri" w:hAnsi="Calibri"/>
          <w:noProof/>
          <w:sz w:val="22"/>
        </w:rPr>
      </w:pPr>
      <w:hyperlink w:anchor="_Toc256000002" w:history="1">
        <w:r>
          <w:rPr>
            <w:rStyle w:val="Hyperlink"/>
          </w:rPr>
          <w:t>1</w:t>
        </w:r>
        <w:r>
          <w:rPr>
            <w:rFonts w:ascii="Calibri" w:hAnsi="Calibri"/>
            <w:noProof/>
            <w:sz w:val="22"/>
          </w:rPr>
          <w:tab/>
        </w:r>
        <w:r>
          <w:rPr>
            <w:rStyle w:val="Hyperlink"/>
          </w:rPr>
          <w:t>TO-BE Retrovigilância Doador-Receptor</w:t>
        </w:r>
        <w:r>
          <w:tab/>
        </w:r>
        <w:r>
          <w:fldChar w:fldCharType="begin"/>
        </w:r>
        <w:r>
          <w:instrText xml:space="preserve"> PAGEREF _Toc256000002 \h </w:instrText>
        </w:r>
        <w:r>
          <w:fldChar w:fldCharType="separate"/>
        </w:r>
        <w:r>
          <w:t>3</w:t>
        </w:r>
        <w:r>
          <w:fldChar w:fldCharType="end"/>
        </w:r>
      </w:hyperlink>
    </w:p>
    <w:p>
      <w:pPr>
        <w:pStyle w:val="TOC2"/>
        <w:tabs>
          <w:tab w:val="left" w:pos="800"/>
        </w:tabs>
        <w:rPr>
          <w:rFonts w:ascii="Calibri" w:hAnsi="Calibri"/>
          <w:noProof/>
          <w:sz w:val="22"/>
        </w:rPr>
      </w:pPr>
      <w:hyperlink w:anchor="_Toc256000003" w:history="1">
        <w:r>
          <w:rPr>
            <w:rStyle w:val="Hyperlink"/>
          </w:rPr>
          <w:t>1.1</w:t>
        </w:r>
        <w:r>
          <w:rPr>
            <w:rFonts w:ascii="Calibri" w:hAnsi="Calibri"/>
            <w:noProof/>
            <w:sz w:val="22"/>
          </w:rPr>
          <w:tab/>
        </w:r>
        <w:r>
          <w:rPr>
            <w:rStyle w:val="Hyperlink"/>
          </w:rPr>
          <w:t>RETROVIGILÂNCIA - TO BE</w:t>
        </w:r>
        <w:r>
          <w:tab/>
        </w:r>
        <w:r>
          <w:fldChar w:fldCharType="begin"/>
        </w:r>
        <w:r>
          <w:instrText xml:space="preserve"> PAGEREF _Toc256000003 \h </w:instrText>
        </w:r>
        <w:r>
          <w:fldChar w:fldCharType="separate"/>
        </w:r>
        <w:r>
          <w:t>6</w:t>
        </w:r>
        <w:r>
          <w:fldChar w:fldCharType="end"/>
        </w:r>
      </w:hyperlink>
    </w:p>
    <w:p>
      <w:pPr>
        <w:pStyle w:val="TOC3"/>
        <w:tabs>
          <w:tab w:val="left" w:pos="1320"/>
        </w:tabs>
        <w:rPr>
          <w:rFonts w:ascii="Calibri" w:hAnsi="Calibri"/>
          <w:noProof/>
          <w:sz w:val="22"/>
        </w:rPr>
      </w:pPr>
      <w:hyperlink w:anchor="_Toc256000004" w:history="1">
        <w:r>
          <w:rPr>
            <w:rStyle w:val="Hyperlink"/>
          </w:rPr>
          <w:t>1.1.1</w:t>
        </w:r>
        <w:r>
          <w:rPr>
            <w:rFonts w:ascii="Calibri" w:hAnsi="Calibri"/>
            <w:noProof/>
            <w:sz w:val="22"/>
          </w:rPr>
          <w:tab/>
        </w:r>
        <w:r>
          <w:rPr>
            <w:rStyle w:val="Hyperlink"/>
          </w:rPr>
          <w:t>Elementos do processo</w:t>
        </w:r>
        <w:r>
          <w:tab/>
        </w:r>
        <w:r>
          <w:fldChar w:fldCharType="begin"/>
        </w:r>
        <w:r>
          <w:instrText xml:space="preserve"> PAGEREF _Toc256000004 \h </w:instrText>
        </w:r>
        <w:r>
          <w:fldChar w:fldCharType="separate"/>
        </w:r>
        <w:r>
          <w:t>6</w:t>
        </w:r>
        <w:r>
          <w:fldChar w:fldCharType="end"/>
        </w:r>
      </w:hyperlink>
    </w:p>
    <w:p>
      <w:pPr>
        <w:pStyle w:val="TOC4"/>
        <w:tabs>
          <w:tab w:val="left" w:pos="1760"/>
          <w:tab w:val="right" w:leader="dot" w:pos="8828"/>
        </w:tabs>
        <w:rPr>
          <w:rFonts w:ascii="Calibri" w:hAnsi="Calibri"/>
          <w:noProof/>
          <w:sz w:val="22"/>
        </w:rPr>
      </w:pPr>
      <w:hyperlink w:anchor="_Toc256000005" w:history="1">
        <w:r>
          <w:rPr>
            <w:rStyle w:val="Hyperlink"/>
          </w:rPr>
          <w:t>1.1.1.1</w:t>
        </w:r>
        <w:r>
          <w:rPr>
            <w:rFonts w:ascii="Calibri" w:hAnsi="Calibri"/>
            <w:noProof/>
            <w:sz w:val="22"/>
          </w:rPr>
          <w:tab/>
        </w:r>
        <w:r>
          <w:drawing>
            <wp:inline>
              <wp:extent cx="152421" cy="152421"/>
              <wp:docPr id="10000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96205" name=""/>
                      <pic:cNvPicPr>
                        <a:picLocks noChangeAspect="1"/>
                      </pic:cNvPicPr>
                    </pic:nvPicPr>
                    <pic:blipFill>
                      <a:blip xmlns:r="http://schemas.openxmlformats.org/officeDocument/2006/relationships" r:embed="rId7"/>
                      <a:stretch>
                        <a:fillRect/>
                      </a:stretch>
                    </pic:blipFill>
                    <pic:spPr>
                      <a:xfrm>
                        <a:off x="0" y="0"/>
                        <a:ext cx="152421" cy="152421"/>
                      </a:xfrm>
                      <a:prstGeom prst="rect">
                        <a:avLst/>
                      </a:prstGeom>
                    </pic:spPr>
                  </pic:pic>
                </a:graphicData>
              </a:graphic>
            </wp:inline>
          </w:drawing>
        </w:r>
        <w:r>
          <w:rPr>
            <w:rStyle w:val="Hyperlink"/>
          </w:rPr>
          <w:t>1. Dar o aceite de notificação</w:t>
        </w:r>
        <w:r>
          <w:tab/>
        </w:r>
        <w:r>
          <w:fldChar w:fldCharType="begin"/>
        </w:r>
        <w:r>
          <w:instrText xml:space="preserve"> PAGEREF _Toc256000005 \h </w:instrText>
        </w:r>
        <w:r>
          <w:fldChar w:fldCharType="separate"/>
        </w:r>
        <w:r>
          <w:t>6</w:t>
        </w:r>
        <w:r>
          <w:fldChar w:fldCharType="end"/>
        </w:r>
      </w:hyperlink>
    </w:p>
    <w:p>
      <w:pPr>
        <w:pStyle w:val="TOC4"/>
        <w:tabs>
          <w:tab w:val="left" w:pos="1760"/>
          <w:tab w:val="right" w:leader="dot" w:pos="8828"/>
        </w:tabs>
        <w:rPr>
          <w:rFonts w:ascii="Calibri" w:hAnsi="Calibri"/>
          <w:noProof/>
          <w:sz w:val="22"/>
        </w:rPr>
      </w:pPr>
      <w:hyperlink w:anchor="_Toc256000006" w:history="1">
        <w:r>
          <w:rPr>
            <w:rStyle w:val="Hyperlink"/>
          </w:rPr>
          <w:t>1.1.1.2</w:t>
        </w:r>
        <w:r>
          <w:rPr>
            <w:rFonts w:ascii="Calibri" w:hAnsi="Calibri"/>
            <w:noProof/>
            <w:sz w:val="22"/>
          </w:rPr>
          <w:tab/>
        </w:r>
        <w:r>
          <w:drawing>
            <wp:inline>
              <wp:extent cx="152421" cy="152421"/>
              <wp:docPr id="10000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7091151" name=""/>
                      <pic:cNvPicPr>
                        <a:picLocks noChangeAspect="1"/>
                      </pic:cNvPicPr>
                    </pic:nvPicPr>
                    <pic:blipFill>
                      <a:blip xmlns:r="http://schemas.openxmlformats.org/officeDocument/2006/relationships" r:embed="rId7"/>
                      <a:stretch>
                        <a:fillRect/>
                      </a:stretch>
                    </pic:blipFill>
                    <pic:spPr>
                      <a:xfrm>
                        <a:off x="0" y="0"/>
                        <a:ext cx="152421" cy="152421"/>
                      </a:xfrm>
                      <a:prstGeom prst="rect">
                        <a:avLst/>
                      </a:prstGeom>
                    </pic:spPr>
                  </pic:pic>
                </a:graphicData>
              </a:graphic>
            </wp:inline>
          </w:drawing>
        </w:r>
        <w:r>
          <w:rPr>
            <w:rStyle w:val="Hyperlink"/>
          </w:rPr>
          <w:t>2. Consultar histórico de doações do doador</w:t>
        </w:r>
        <w:r>
          <w:tab/>
        </w:r>
        <w:r>
          <w:fldChar w:fldCharType="begin"/>
        </w:r>
        <w:r>
          <w:instrText xml:space="preserve"> PAGEREF _Toc256000006 \h </w:instrText>
        </w:r>
        <w:r>
          <w:fldChar w:fldCharType="separate"/>
        </w:r>
        <w:r>
          <w:t>7</w:t>
        </w:r>
        <w:r>
          <w:fldChar w:fldCharType="end"/>
        </w:r>
      </w:hyperlink>
    </w:p>
    <w:p>
      <w:pPr>
        <w:pStyle w:val="TOC4"/>
        <w:tabs>
          <w:tab w:val="left" w:pos="1760"/>
          <w:tab w:val="right" w:leader="dot" w:pos="8828"/>
        </w:tabs>
        <w:rPr>
          <w:rFonts w:ascii="Calibri" w:hAnsi="Calibri"/>
          <w:noProof/>
          <w:sz w:val="22"/>
        </w:rPr>
      </w:pPr>
      <w:hyperlink w:anchor="_Toc256000007" w:history="1">
        <w:r>
          <w:rPr>
            <w:rStyle w:val="Hyperlink"/>
          </w:rPr>
          <w:t>1.1.1.3</w:t>
        </w:r>
        <w:r>
          <w:rPr>
            <w:rFonts w:ascii="Calibri" w:hAnsi="Calibri"/>
            <w:noProof/>
            <w:sz w:val="22"/>
          </w:rPr>
          <w:tab/>
        </w:r>
        <w:r>
          <w:drawing>
            <wp:inline>
              <wp:extent cx="152421" cy="152421"/>
              <wp:docPr id="10000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370506" name=""/>
                      <pic:cNvPicPr>
                        <a:picLocks noChangeAspect="1"/>
                      </pic:cNvPicPr>
                    </pic:nvPicPr>
                    <pic:blipFill>
                      <a:blip xmlns:r="http://schemas.openxmlformats.org/officeDocument/2006/relationships" r:embed="rId8"/>
                      <a:stretch>
                        <a:fillRect/>
                      </a:stretch>
                    </pic:blipFill>
                    <pic:spPr>
                      <a:xfrm>
                        <a:off x="0" y="0"/>
                        <a:ext cx="152421" cy="152421"/>
                      </a:xfrm>
                      <a:prstGeom prst="rect">
                        <a:avLst/>
                      </a:prstGeom>
                    </pic:spPr>
                  </pic:pic>
                </a:graphicData>
              </a:graphic>
            </wp:inline>
          </w:drawing>
        </w:r>
        <w:r>
          <w:rPr>
            <w:rStyle w:val="Hyperlink"/>
          </w:rPr>
          <w:t>3. Notificar hospital/clínica</w:t>
        </w:r>
        <w:r>
          <w:tab/>
        </w:r>
        <w:r>
          <w:fldChar w:fldCharType="begin"/>
        </w:r>
        <w:r>
          <w:instrText xml:space="preserve"> PAGEREF _Toc256000007 \h </w:instrText>
        </w:r>
        <w:r>
          <w:fldChar w:fldCharType="separate"/>
        </w:r>
        <w:r>
          <w:t>8</w:t>
        </w:r>
        <w:r>
          <w:fldChar w:fldCharType="end"/>
        </w:r>
      </w:hyperlink>
    </w:p>
    <w:p>
      <w:pPr>
        <w:pStyle w:val="TOC4"/>
        <w:tabs>
          <w:tab w:val="left" w:pos="1760"/>
          <w:tab w:val="right" w:leader="dot" w:pos="8828"/>
        </w:tabs>
        <w:rPr>
          <w:rFonts w:ascii="Calibri" w:hAnsi="Calibri"/>
          <w:noProof/>
          <w:sz w:val="22"/>
        </w:rPr>
      </w:pPr>
      <w:hyperlink w:anchor="_Toc256000008" w:history="1">
        <w:r>
          <w:rPr>
            <w:rStyle w:val="Hyperlink"/>
          </w:rPr>
          <w:t>1.1.1.4</w:t>
        </w:r>
        <w:r>
          <w:rPr>
            <w:rFonts w:ascii="Calibri" w:hAnsi="Calibri"/>
            <w:noProof/>
            <w:sz w:val="22"/>
          </w:rPr>
          <w:tab/>
        </w:r>
        <w:r>
          <w:drawing>
            <wp:inline>
              <wp:extent cx="152421" cy="152421"/>
              <wp:docPr id="10000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6203722" name=""/>
                      <pic:cNvPicPr>
                        <a:picLocks noChangeAspect="1"/>
                      </pic:cNvPicPr>
                    </pic:nvPicPr>
                    <pic:blipFill>
                      <a:blip xmlns:r="http://schemas.openxmlformats.org/officeDocument/2006/relationships" r:embed="rId7"/>
                      <a:stretch>
                        <a:fillRect/>
                      </a:stretch>
                    </pic:blipFill>
                    <pic:spPr>
                      <a:xfrm>
                        <a:off x="0" y="0"/>
                        <a:ext cx="152421" cy="152421"/>
                      </a:xfrm>
                      <a:prstGeom prst="rect">
                        <a:avLst/>
                      </a:prstGeom>
                    </pic:spPr>
                  </pic:pic>
                </a:graphicData>
              </a:graphic>
            </wp:inline>
          </w:drawing>
        </w:r>
        <w:r>
          <w:rPr>
            <w:rStyle w:val="Hyperlink"/>
          </w:rPr>
          <w:t>3.  Dar aceite de notificação de expurgo</w:t>
        </w:r>
        <w:r>
          <w:tab/>
        </w:r>
        <w:r>
          <w:fldChar w:fldCharType="begin"/>
        </w:r>
        <w:r>
          <w:instrText xml:space="preserve"> PAGEREF _Toc256000008 \h </w:instrText>
        </w:r>
        <w:r>
          <w:fldChar w:fldCharType="separate"/>
        </w:r>
        <w:r>
          <w:t>9</w:t>
        </w:r>
        <w:r>
          <w:fldChar w:fldCharType="end"/>
        </w:r>
      </w:hyperlink>
    </w:p>
    <w:p>
      <w:pPr>
        <w:pStyle w:val="TOC4"/>
        <w:tabs>
          <w:tab w:val="left" w:pos="1760"/>
          <w:tab w:val="right" w:leader="dot" w:pos="8828"/>
        </w:tabs>
        <w:rPr>
          <w:rFonts w:ascii="Calibri" w:hAnsi="Calibri"/>
          <w:noProof/>
          <w:sz w:val="22"/>
        </w:rPr>
      </w:pPr>
      <w:hyperlink w:anchor="_Toc256000009" w:history="1">
        <w:r>
          <w:rPr>
            <w:rStyle w:val="Hyperlink"/>
          </w:rPr>
          <w:t>1.1.1.5</w:t>
        </w:r>
        <w:r>
          <w:rPr>
            <w:rFonts w:ascii="Calibri" w:hAnsi="Calibri"/>
            <w:noProof/>
            <w:sz w:val="22"/>
          </w:rPr>
          <w:tab/>
        </w:r>
        <w:r>
          <w:drawing>
            <wp:inline>
              <wp:extent cx="152421" cy="152421"/>
              <wp:docPr id="10000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71023" name=""/>
                      <pic:cNvPicPr>
                        <a:picLocks noChangeAspect="1"/>
                      </pic:cNvPicPr>
                    </pic:nvPicPr>
                    <pic:blipFill>
                      <a:blip xmlns:r="http://schemas.openxmlformats.org/officeDocument/2006/relationships" r:embed="rId7"/>
                      <a:stretch>
                        <a:fillRect/>
                      </a:stretch>
                    </pic:blipFill>
                    <pic:spPr>
                      <a:xfrm>
                        <a:off x="0" y="0"/>
                        <a:ext cx="152421" cy="152421"/>
                      </a:xfrm>
                      <a:prstGeom prst="rect">
                        <a:avLst/>
                      </a:prstGeom>
                    </pic:spPr>
                  </pic:pic>
                </a:graphicData>
              </a:graphic>
            </wp:inline>
          </w:drawing>
        </w:r>
        <w:r>
          <w:rPr>
            <w:rStyle w:val="Hyperlink"/>
          </w:rPr>
          <w:t>4. Expurgar bolsa</w:t>
        </w:r>
        <w:r>
          <w:tab/>
        </w:r>
        <w:r>
          <w:fldChar w:fldCharType="begin"/>
        </w:r>
        <w:r>
          <w:instrText xml:space="preserve"> PAGEREF _Toc256000009 \h </w:instrText>
        </w:r>
        <w:r>
          <w:fldChar w:fldCharType="separate"/>
        </w:r>
        <w:r>
          <w:t>9</w:t>
        </w:r>
        <w:r>
          <w:fldChar w:fldCharType="end"/>
        </w:r>
      </w:hyperlink>
    </w:p>
    <w:p>
      <w:pPr>
        <w:pStyle w:val="TOC4"/>
        <w:tabs>
          <w:tab w:val="left" w:pos="1760"/>
          <w:tab w:val="right" w:leader="dot" w:pos="8828"/>
        </w:tabs>
        <w:rPr>
          <w:rFonts w:ascii="Calibri" w:hAnsi="Calibri"/>
          <w:noProof/>
          <w:sz w:val="22"/>
        </w:rPr>
      </w:pPr>
      <w:hyperlink w:anchor="_Toc256000010" w:history="1">
        <w:r>
          <w:rPr>
            <w:rStyle w:val="Hyperlink"/>
          </w:rPr>
          <w:t>1.1.1.6</w:t>
        </w:r>
        <w:r>
          <w:rPr>
            <w:rFonts w:ascii="Calibri" w:hAnsi="Calibri"/>
            <w:noProof/>
            <w:sz w:val="22"/>
          </w:rPr>
          <w:tab/>
        </w:r>
        <w:r>
          <w:drawing>
            <wp:inline>
              <wp:extent cx="152421" cy="152421"/>
              <wp:docPr id="10000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436746" name=""/>
                      <pic:cNvPicPr>
                        <a:picLocks noChangeAspect="1"/>
                      </pic:cNvPicPr>
                    </pic:nvPicPr>
                    <pic:blipFill>
                      <a:blip xmlns:r="http://schemas.openxmlformats.org/officeDocument/2006/relationships" r:embed="rId9"/>
                      <a:stretch>
                        <a:fillRect/>
                      </a:stretch>
                    </pic:blipFill>
                    <pic:spPr>
                      <a:xfrm>
                        <a:off x="0" y="0"/>
                        <a:ext cx="152421" cy="152421"/>
                      </a:xfrm>
                      <a:prstGeom prst="rect">
                        <a:avLst/>
                      </a:prstGeom>
                    </pic:spPr>
                  </pic:pic>
                </a:graphicData>
              </a:graphic>
            </wp:inline>
          </w:drawing>
        </w:r>
        <w:r>
          <w:rPr>
            <w:rStyle w:val="Hyperlink"/>
          </w:rPr>
          <w:t>Informações da bolsa</w:t>
        </w:r>
        <w:r>
          <w:tab/>
        </w:r>
        <w:r>
          <w:fldChar w:fldCharType="begin"/>
        </w:r>
        <w:r>
          <w:instrText xml:space="preserve"> PAGEREF _Toc256000010 \h </w:instrText>
        </w:r>
        <w:r>
          <w:fldChar w:fldCharType="separate"/>
        </w:r>
        <w:r>
          <w:t>10</w:t>
        </w:r>
        <w:r>
          <w:fldChar w:fldCharType="end"/>
        </w:r>
      </w:hyperlink>
    </w:p>
    <w:p>
      <w:pPr>
        <w:pStyle w:val="TOC4"/>
        <w:tabs>
          <w:tab w:val="left" w:pos="1760"/>
          <w:tab w:val="right" w:leader="dot" w:pos="8828"/>
        </w:tabs>
        <w:rPr>
          <w:rFonts w:ascii="Calibri" w:hAnsi="Calibri"/>
          <w:noProof/>
          <w:sz w:val="22"/>
        </w:rPr>
      </w:pPr>
      <w:hyperlink w:anchor="_Toc256000011" w:history="1">
        <w:r>
          <w:rPr>
            <w:rStyle w:val="Hyperlink"/>
          </w:rPr>
          <w:t>1.1.1.7</w:t>
        </w:r>
        <w:r>
          <w:rPr>
            <w:rFonts w:ascii="Calibri" w:hAnsi="Calibri"/>
            <w:noProof/>
            <w:sz w:val="22"/>
          </w:rPr>
          <w:tab/>
        </w:r>
        <w:r>
          <w:drawing>
            <wp:inline>
              <wp:extent cx="152421" cy="152421"/>
              <wp:docPr id="10000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166671" name=""/>
                      <pic:cNvPicPr>
                        <a:picLocks noChangeAspect="1"/>
                      </pic:cNvPicPr>
                    </pic:nvPicPr>
                    <pic:blipFill>
                      <a:blip xmlns:r="http://schemas.openxmlformats.org/officeDocument/2006/relationships" r:embed="rId7"/>
                      <a:stretch>
                        <a:fillRect/>
                      </a:stretch>
                    </pic:blipFill>
                    <pic:spPr>
                      <a:xfrm>
                        <a:off x="0" y="0"/>
                        <a:ext cx="152421" cy="152421"/>
                      </a:xfrm>
                      <a:prstGeom prst="rect">
                        <a:avLst/>
                      </a:prstGeom>
                    </pic:spPr>
                  </pic:pic>
                </a:graphicData>
              </a:graphic>
            </wp:inline>
          </w:drawing>
        </w:r>
        <w:r>
          <w:rPr>
            <w:rStyle w:val="Hyperlink"/>
          </w:rPr>
          <w:t>3. Dar aceite de notificação de expurgo</w:t>
        </w:r>
        <w:r>
          <w:tab/>
        </w:r>
        <w:r>
          <w:fldChar w:fldCharType="begin"/>
        </w:r>
        <w:r>
          <w:instrText xml:space="preserve"> PAGEREF _Toc256000011 \h </w:instrText>
        </w:r>
        <w:r>
          <w:fldChar w:fldCharType="separate"/>
        </w:r>
        <w:r>
          <w:t>10</w:t>
        </w:r>
        <w:r>
          <w:fldChar w:fldCharType="end"/>
        </w:r>
      </w:hyperlink>
    </w:p>
    <w:p>
      <w:pPr>
        <w:pStyle w:val="TOC4"/>
        <w:tabs>
          <w:tab w:val="left" w:pos="1760"/>
          <w:tab w:val="right" w:leader="dot" w:pos="8828"/>
        </w:tabs>
        <w:rPr>
          <w:rFonts w:ascii="Calibri" w:hAnsi="Calibri"/>
          <w:noProof/>
          <w:sz w:val="22"/>
        </w:rPr>
      </w:pPr>
      <w:hyperlink w:anchor="_Toc256000012" w:history="1">
        <w:r>
          <w:rPr>
            <w:rStyle w:val="Hyperlink"/>
          </w:rPr>
          <w:t>1.1.1.8</w:t>
        </w:r>
        <w:r>
          <w:rPr>
            <w:rFonts w:ascii="Calibri" w:hAnsi="Calibri"/>
            <w:noProof/>
            <w:sz w:val="22"/>
          </w:rPr>
          <w:tab/>
        </w:r>
        <w:r>
          <w:drawing>
            <wp:inline>
              <wp:extent cx="152421" cy="152421"/>
              <wp:docPr id="10001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1993962" name=""/>
                      <pic:cNvPicPr>
                        <a:picLocks noChangeAspect="1"/>
                      </pic:cNvPicPr>
                    </pic:nvPicPr>
                    <pic:blipFill>
                      <a:blip xmlns:r="http://schemas.openxmlformats.org/officeDocument/2006/relationships" r:embed="rId7"/>
                      <a:stretch>
                        <a:fillRect/>
                      </a:stretch>
                    </pic:blipFill>
                    <pic:spPr>
                      <a:xfrm>
                        <a:off x="0" y="0"/>
                        <a:ext cx="152421" cy="152421"/>
                      </a:xfrm>
                      <a:prstGeom prst="rect">
                        <a:avLst/>
                      </a:prstGeom>
                    </pic:spPr>
                  </pic:pic>
                </a:graphicData>
              </a:graphic>
            </wp:inline>
          </w:drawing>
        </w:r>
        <w:r>
          <w:rPr>
            <w:rStyle w:val="Hyperlink"/>
          </w:rPr>
          <w:t>4. Expurgar bolsa</w:t>
        </w:r>
        <w:r>
          <w:tab/>
        </w:r>
        <w:r>
          <w:fldChar w:fldCharType="begin"/>
        </w:r>
        <w:r>
          <w:instrText xml:space="preserve"> PAGEREF _Toc256000012 \h </w:instrText>
        </w:r>
        <w:r>
          <w:fldChar w:fldCharType="separate"/>
        </w:r>
        <w:r>
          <w:t>11</w:t>
        </w:r>
        <w:r>
          <w:fldChar w:fldCharType="end"/>
        </w:r>
      </w:hyperlink>
    </w:p>
    <w:p>
      <w:pPr>
        <w:pStyle w:val="TOC4"/>
        <w:tabs>
          <w:tab w:val="left" w:pos="1760"/>
          <w:tab w:val="right" w:leader="dot" w:pos="8828"/>
        </w:tabs>
        <w:rPr>
          <w:rFonts w:ascii="Calibri" w:hAnsi="Calibri"/>
          <w:noProof/>
          <w:sz w:val="22"/>
        </w:rPr>
      </w:pPr>
      <w:hyperlink w:anchor="_Toc256000013" w:history="1">
        <w:r>
          <w:rPr>
            <w:rStyle w:val="Hyperlink"/>
          </w:rPr>
          <w:t>1.1.1.9</w:t>
        </w:r>
        <w:r>
          <w:rPr>
            <w:rFonts w:ascii="Calibri" w:hAnsi="Calibri"/>
            <w:noProof/>
            <w:sz w:val="22"/>
          </w:rPr>
          <w:tab/>
        </w:r>
        <w:r>
          <w:drawing>
            <wp:inline>
              <wp:extent cx="152421" cy="152421"/>
              <wp:docPr id="10001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838088" name=""/>
                      <pic:cNvPicPr>
                        <a:picLocks noChangeAspect="1"/>
                      </pic:cNvPicPr>
                    </pic:nvPicPr>
                    <pic:blipFill>
                      <a:blip xmlns:r="http://schemas.openxmlformats.org/officeDocument/2006/relationships" r:embed="rId9"/>
                      <a:stretch>
                        <a:fillRect/>
                      </a:stretch>
                    </pic:blipFill>
                    <pic:spPr>
                      <a:xfrm>
                        <a:off x="0" y="0"/>
                        <a:ext cx="152421" cy="152421"/>
                      </a:xfrm>
                      <a:prstGeom prst="rect">
                        <a:avLst/>
                      </a:prstGeom>
                    </pic:spPr>
                  </pic:pic>
                </a:graphicData>
              </a:graphic>
            </wp:inline>
          </w:drawing>
        </w:r>
        <w:r>
          <w:rPr>
            <w:rStyle w:val="Hyperlink"/>
          </w:rPr>
          <w:t>Informações da bolsa</w:t>
        </w:r>
        <w:r>
          <w:tab/>
        </w:r>
        <w:r>
          <w:fldChar w:fldCharType="begin"/>
        </w:r>
        <w:r>
          <w:instrText xml:space="preserve"> PAGEREF _Toc256000013 \h </w:instrText>
        </w:r>
        <w:r>
          <w:fldChar w:fldCharType="separate"/>
        </w:r>
        <w:r>
          <w:t>12</w:t>
        </w:r>
        <w:r>
          <w:fldChar w:fldCharType="end"/>
        </w:r>
      </w:hyperlink>
    </w:p>
    <w:p>
      <w:pPr>
        <w:pStyle w:val="TOC4"/>
        <w:tabs>
          <w:tab w:val="left" w:pos="1794"/>
          <w:tab w:val="right" w:leader="dot" w:pos="8828"/>
        </w:tabs>
        <w:rPr>
          <w:rFonts w:ascii="Calibri" w:hAnsi="Calibri"/>
          <w:noProof/>
          <w:sz w:val="22"/>
        </w:rPr>
      </w:pPr>
      <w:hyperlink w:anchor="_Toc256000014" w:history="1">
        <w:r>
          <w:rPr>
            <w:rStyle w:val="Hyperlink"/>
          </w:rPr>
          <w:t>1.1.1.10</w:t>
        </w:r>
        <w:r>
          <w:rPr>
            <w:rFonts w:ascii="Calibri" w:hAnsi="Calibri"/>
            <w:noProof/>
            <w:sz w:val="22"/>
          </w:rPr>
          <w:tab/>
        </w:r>
        <w:r>
          <w:drawing>
            <wp:inline>
              <wp:extent cx="152421" cy="152421"/>
              <wp:docPr id="10001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332412" name=""/>
                      <pic:cNvPicPr>
                        <a:picLocks noChangeAspect="1"/>
                      </pic:cNvPicPr>
                    </pic:nvPicPr>
                    <pic:blipFill>
                      <a:blip xmlns:r="http://schemas.openxmlformats.org/officeDocument/2006/relationships" r:embed="rId10"/>
                      <a:stretch>
                        <a:fillRect/>
                      </a:stretch>
                    </pic:blipFill>
                    <pic:spPr>
                      <a:xfrm>
                        <a:off x="0" y="0"/>
                        <a:ext cx="152421" cy="152421"/>
                      </a:xfrm>
                      <a:prstGeom prst="rect">
                        <a:avLst/>
                      </a:prstGeom>
                    </pic:spPr>
                  </pic:pic>
                </a:graphicData>
              </a:graphic>
            </wp:inline>
          </w:drawing>
        </w:r>
        <w:r>
          <w:rPr>
            <w:rStyle w:val="Hyperlink"/>
          </w:rPr>
          <w:t>Informações da bolsa</w:t>
        </w:r>
        <w:r>
          <w:tab/>
        </w:r>
        <w:r>
          <w:fldChar w:fldCharType="begin"/>
        </w:r>
        <w:r>
          <w:instrText xml:space="preserve"> PAGEREF _Toc256000014 \h </w:instrText>
        </w:r>
        <w:r>
          <w:fldChar w:fldCharType="separate"/>
        </w:r>
        <w:r>
          <w:t>12</w:t>
        </w:r>
        <w:r>
          <w:fldChar w:fldCharType="end"/>
        </w:r>
      </w:hyperlink>
    </w:p>
    <w:p>
      <w:pPr>
        <w:pStyle w:val="TOC4"/>
        <w:tabs>
          <w:tab w:val="left" w:pos="1794"/>
          <w:tab w:val="right" w:leader="dot" w:pos="8828"/>
        </w:tabs>
        <w:rPr>
          <w:rFonts w:ascii="Calibri" w:hAnsi="Calibri"/>
          <w:noProof/>
          <w:sz w:val="22"/>
        </w:rPr>
      </w:pPr>
      <w:hyperlink w:anchor="_Toc256000015" w:history="1">
        <w:r>
          <w:rPr>
            <w:rStyle w:val="Hyperlink"/>
          </w:rPr>
          <w:t>1.1.1.11</w:t>
        </w:r>
        <w:r>
          <w:rPr>
            <w:rFonts w:ascii="Calibri" w:hAnsi="Calibri"/>
            <w:noProof/>
            <w:sz w:val="22"/>
          </w:rPr>
          <w:tab/>
        </w:r>
        <w:r>
          <w:drawing>
            <wp:inline>
              <wp:extent cx="152421" cy="152421"/>
              <wp:docPr id="10001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9583743" name=""/>
                      <pic:cNvPicPr>
                        <a:picLocks noChangeAspect="1"/>
                      </pic:cNvPicPr>
                    </pic:nvPicPr>
                    <pic:blipFill>
                      <a:blip xmlns:r="http://schemas.openxmlformats.org/officeDocument/2006/relationships" r:embed="rId7"/>
                      <a:stretch>
                        <a:fillRect/>
                      </a:stretch>
                    </pic:blipFill>
                    <pic:spPr>
                      <a:xfrm>
                        <a:off x="0" y="0"/>
                        <a:ext cx="152421" cy="152421"/>
                      </a:xfrm>
                      <a:prstGeom prst="rect">
                        <a:avLst/>
                      </a:prstGeom>
                    </pic:spPr>
                  </pic:pic>
                </a:graphicData>
              </a:graphic>
            </wp:inline>
          </w:drawing>
        </w:r>
        <w:r>
          <w:rPr>
            <w:rStyle w:val="Hyperlink"/>
          </w:rPr>
          <w:t>4. Notificar Vigilância em Saúde e finalizar Retrovigilância</w:t>
        </w:r>
        <w:r>
          <w:tab/>
        </w:r>
        <w:r>
          <w:fldChar w:fldCharType="begin"/>
        </w:r>
        <w:r>
          <w:instrText xml:space="preserve"> PAGEREF _Toc256000015 \h </w:instrText>
        </w:r>
        <w:r>
          <w:fldChar w:fldCharType="separate"/>
        </w:r>
        <w:r>
          <w:t>12</w:t>
        </w:r>
        <w:r>
          <w:fldChar w:fldCharType="end"/>
        </w:r>
      </w:hyperlink>
    </w:p>
    <w:p>
      <w:pPr>
        <w:pStyle w:val="TOC2"/>
        <w:tabs>
          <w:tab w:val="left" w:pos="800"/>
        </w:tabs>
        <w:rPr>
          <w:rFonts w:ascii="Calibri" w:hAnsi="Calibri"/>
          <w:noProof/>
          <w:sz w:val="22"/>
        </w:rPr>
      </w:pPr>
      <w:hyperlink w:anchor="_Toc256000016" w:history="1">
        <w:r>
          <w:rPr>
            <w:rStyle w:val="Hyperlink"/>
          </w:rPr>
          <w:t>1.2</w:t>
        </w:r>
        <w:r>
          <w:rPr>
            <w:rFonts w:ascii="Calibri" w:hAnsi="Calibri"/>
            <w:noProof/>
            <w:sz w:val="22"/>
          </w:rPr>
          <w:tab/>
        </w:r>
        <w:r>
          <w:rPr>
            <w:rStyle w:val="Hyperlink"/>
          </w:rPr>
          <w:t>Hospital/Clínica</w:t>
        </w:r>
        <w:r>
          <w:tab/>
        </w:r>
        <w:r>
          <w:fldChar w:fldCharType="begin"/>
        </w:r>
        <w:r>
          <w:instrText xml:space="preserve"> PAGEREF _Toc256000016 \h </w:instrText>
        </w:r>
        <w:r>
          <w:fldChar w:fldCharType="separate"/>
        </w:r>
        <w:r>
          <w:t>13</w:t>
        </w:r>
        <w:r>
          <w:fldChar w:fldCharType="end"/>
        </w:r>
      </w:hyperlink>
    </w:p>
    <w:p>
      <w:pPr>
        <w:pStyle w:val="TOC3"/>
        <w:tabs>
          <w:tab w:val="left" w:pos="1320"/>
        </w:tabs>
        <w:rPr>
          <w:rFonts w:ascii="Calibri" w:hAnsi="Calibri"/>
          <w:noProof/>
          <w:sz w:val="22"/>
        </w:rPr>
      </w:pPr>
      <w:hyperlink w:anchor="_Toc256000017" w:history="1">
        <w:r>
          <w:rPr>
            <w:rStyle w:val="Hyperlink"/>
          </w:rPr>
          <w:t>1.2.1</w:t>
        </w:r>
        <w:r>
          <w:rPr>
            <w:rFonts w:ascii="Calibri" w:hAnsi="Calibri"/>
            <w:noProof/>
            <w:sz w:val="22"/>
          </w:rPr>
          <w:tab/>
        </w:r>
        <w:r>
          <w:rPr>
            <w:rStyle w:val="Hyperlink"/>
          </w:rPr>
          <w:t>Elementos do processo</w:t>
        </w:r>
        <w:r>
          <w:tab/>
        </w:r>
        <w:r>
          <w:fldChar w:fldCharType="begin"/>
        </w:r>
        <w:r>
          <w:instrText xml:space="preserve"> PAGEREF _Toc256000017 \h </w:instrText>
        </w:r>
        <w:r>
          <w:fldChar w:fldCharType="separate"/>
        </w:r>
        <w:r>
          <w:t>13</w:t>
        </w:r>
        <w:r>
          <w:fldChar w:fldCharType="end"/>
        </w:r>
      </w:hyperlink>
    </w:p>
    <w:p>
      <w:pPr>
        <w:pStyle w:val="TOC4"/>
        <w:tabs>
          <w:tab w:val="left" w:pos="1760"/>
          <w:tab w:val="right" w:leader="dot" w:pos="8828"/>
        </w:tabs>
        <w:rPr>
          <w:rFonts w:ascii="Calibri" w:hAnsi="Calibri"/>
          <w:noProof/>
          <w:sz w:val="22"/>
        </w:rPr>
      </w:pPr>
      <w:hyperlink w:anchor="_Toc256000018" w:history="1">
        <w:r>
          <w:rPr>
            <w:rStyle w:val="Hyperlink"/>
          </w:rPr>
          <w:t>1.2.1.1</w:t>
        </w:r>
        <w:r>
          <w:rPr>
            <w:rFonts w:ascii="Calibri" w:hAnsi="Calibri"/>
            <w:noProof/>
            <w:sz w:val="22"/>
          </w:rPr>
          <w:tab/>
        </w:r>
        <w:r>
          <w:drawing>
            <wp:inline>
              <wp:extent cx="152421" cy="152421"/>
              <wp:docPr id="10001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9747780"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rPr>
            <w:rStyle w:val="Hyperlink"/>
          </w:rPr>
          <w:t>1. Receber notificação de Retrovigilância</w:t>
        </w:r>
        <w:r>
          <w:tab/>
        </w:r>
        <w:r>
          <w:fldChar w:fldCharType="begin"/>
        </w:r>
        <w:r>
          <w:instrText xml:space="preserve"> PAGEREF _Toc256000018 \h </w:instrText>
        </w:r>
        <w:r>
          <w:fldChar w:fldCharType="separate"/>
        </w:r>
        <w:r>
          <w:t>13</w:t>
        </w:r>
        <w:r>
          <w:fldChar w:fldCharType="end"/>
        </w:r>
      </w:hyperlink>
    </w:p>
    <w:p w:rsidR="00AE3ACF" w:rsidRPr="008D2D31" w:rsidP="00854218">
      <w:pPr>
        <w:jc w:val="center"/>
        <w:sectPr w:rsidSect="00503EE8">
          <w:pgSz w:w="12240" w:h="15840" w:code="1"/>
          <w:pgMar w:top="1616" w:right="1701" w:bottom="1418" w:left="1701" w:header="709" w:footer="255" w:gutter="0"/>
          <w:cols w:space="708"/>
          <w:docGrid w:linePitch="360"/>
        </w:sectPr>
      </w:pPr>
      <w:r w:rsidRPr="008D2D31">
        <w:fldChar w:fldCharType="end"/>
      </w:r>
    </w:p>
    <w:p>
      <w:pPr>
        <w:pStyle w:val="bizHeading1"/>
      </w:pPr>
      <w:bookmarkStart w:id="2" w:name="Id_98f7daba4f5f4a6d9560495780e452c1"/>
      <w:bookmarkStart w:id="3" w:name="_Toc256000002"/>
      <w:r>
        <w:t>TO-BE Retrovigilância Doador-Receptor</w:t>
      </w:r>
      <w:bookmarkEnd w:id="3"/>
    </w:p>
    <w:p>
      <w:pPr>
        <w:jc w:val="center"/>
      </w:pPr>
      <w:bookmarkEnd w:id="2"/>
      <w:r>
        <w:drawing>
          <wp:inline>
            <wp:extent cx="4853131" cy="5845810"/>
            <wp:docPr id="10000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884259" name=""/>
                    <pic:cNvPicPr>
                      <a:picLocks noChangeAspect="1"/>
                    </pic:cNvPicPr>
                  </pic:nvPicPr>
                  <pic:blipFill>
                    <a:blip xmlns:r="http://schemas.openxmlformats.org/officeDocument/2006/relationships" r:embed="rId12"/>
                    <a:stretch>
                      <a:fillRect/>
                    </a:stretch>
                  </pic:blipFill>
                  <pic:spPr>
                    <a:xfrm>
                      <a:off x="0" y="0"/>
                      <a:ext cx="4853131" cy="5845810"/>
                    </a:xfrm>
                    <a:prstGeom prst="rect">
                      <a:avLst/>
                    </a:prstGeom>
                  </pic:spPr>
                </pic:pic>
              </a:graphicData>
            </a:graphic>
          </wp:inline>
        </w:drawing>
      </w:r>
    </w:p>
    <w:p>
      <w:pPr>
        <w:sectPr>
          <w:pgSz w:w="15840" w:h="12240" w:orient="landscape"/>
          <w:pgMar w:top="1616" w:right="1701" w:bottom="1418" w:left="1701" w:header="708" w:footer="708"/>
          <w:cols w:space="708"/>
        </w:sectPr>
      </w:pPr>
    </w:p>
    <w:p>
      <w:pPr>
        <w:pStyle w:val="BoldModelerNormal"/>
      </w:pPr>
      <w:r>
        <w:t>Descrição</w:t>
      </w:r>
    </w:p>
    <w:p>
      <w:pPr>
        <w:pStyle w:val="ModelerNormal"/>
        <w:spacing w:afterAutospacing="1"/>
      </w:pPr>
      <w:bookmarkStart w:id="4" w:name="_dx_frag_StartFragment"/>
      <w:bookmarkEnd w:id="4"/>
      <w:r>
        <w:t>Esse processo tem como escopo o mapeamento de </w:t>
      </w:r>
      <w:r>
        <w:t>Retrovigilância (Doador - Receptor)</w:t>
      </w:r>
      <w:r>
        <w:t>, desde a necessidade de iniciar uma investigação </w:t>
      </w:r>
      <w:r>
        <w:t>retrospectiva relacionada à rastreabilidade das bolsas de doações anteriores de um doador que apresentou viragem de um marcador/soroconversão</w:t>
      </w:r>
      <w:r>
        <w:t>, até a disponibilização dos resultados através do sistema SIHRO.</w:t>
      </w:r>
    </w:p>
    <w:p>
      <w:pPr>
        <w:pStyle w:val="BoldModelerNormal"/>
      </w:pPr>
      <w:r>
        <w:t>SUPERINTENDÊNCIA ESTADUAL DE TECNOLOGIA DA INFORMAÇÃO E COMUNICAÇÃO</w:t>
      </w:r>
    </w:p>
    <w:p>
      <w:pPr>
        <w:pStyle w:val="ModelerNormal"/>
        <w:spacing w:afterAutospacing="1"/>
      </w:pPr>
      <w:r>
        <w:t>Delner Freire</w:t>
      </w:r>
      <w:r>
        <w:br/>
      </w:r>
      <w:r>
        <w:t>Superintendente</w:t>
      </w:r>
      <w:r>
        <w:br/>
      </w:r>
      <w:r>
        <w:br/>
      </w:r>
      <w:r>
        <w:t>Abdenildo Sobreira</w:t>
      </w:r>
      <w:r>
        <w:br/>
      </w:r>
      <w:r>
        <w:t>Diretor Técnico</w:t>
      </w:r>
      <w:r>
        <w:br/>
      </w:r>
      <w:r>
        <w:br/>
      </w:r>
      <w:r>
        <w:t>Henrique Douglas Freire</w:t>
      </w:r>
      <w:r>
        <w:br/>
      </w:r>
      <w:r>
        <w:t>Coordenador de Gestão Estratégica</w:t>
      </w:r>
      <w:bookmarkStart w:id="5" w:name="_dx_frag_EndFragment"/>
      <w:bookmarkEnd w:id="5"/>
      <w:r>
        <w:t> </w:t>
      </w:r>
    </w:p>
    <w:p>
      <w:pPr>
        <w:pStyle w:val="BoldModelerNormal"/>
      </w:pPr>
      <w:r>
        <w:t>ELABORAÇÃO</w:t>
      </w:r>
    </w:p>
    <w:p>
      <w:pPr>
        <w:pStyle w:val="ModelerNormal"/>
        <w:spacing w:afterAutospacing="1"/>
      </w:pPr>
      <w:r>
        <w:t>Thaís Roca - Analista de Processos</w:t>
      </w:r>
      <w:r>
        <w:br/>
      </w:r>
      <w:r>
        <w:t>Crislâny Andrade - Analista de Processos</w:t>
      </w:r>
    </w:p>
    <w:p>
      <w:pPr>
        <w:pStyle w:val="BoldModelerNormal"/>
      </w:pPr>
      <w:r>
        <w:t>COLABORAÇÃO</w:t>
      </w:r>
    </w:p>
    <w:p>
      <w:pPr>
        <w:pStyle w:val="ModelerNormal"/>
        <w:spacing w:afterAutospacing="1"/>
      </w:pPr>
      <w:r>
        <w:t>Ana Carolina</w:t>
      </w:r>
      <w:r>
        <w:t xml:space="preserve"> - </w:t>
      </w:r>
      <w:r>
        <w:t>Médica Hematologista da FHEMERON</w:t>
      </w:r>
      <w:r>
        <w:br/>
      </w:r>
      <w:r>
        <w:t>Valéria Ronik - Biomédica responsável pelo setor de Sorologia da FHEMERON</w:t>
      </w:r>
      <w:r>
        <w:t xml:space="preserve"> </w:t>
      </w:r>
      <w:r>
        <w:br/>
      </w:r>
      <w:r>
        <w:t>Maria Luíza - Assistente Social do setor de Serviço Social da FHEMERON</w:t>
      </w:r>
      <w:r>
        <w:br/>
      </w:r>
      <w:r>
        <w:t>Kelly Régia - Biomédica responsável pelo setor de Processamento da FHEMERON</w:t>
      </w:r>
      <w:r>
        <w:br/>
      </w:r>
      <w:r>
        <w:t>Jaqueline da Silva - Biomédica responsável pela Agência Transfusional da FHEMERON</w:t>
      </w:r>
    </w:p>
    <w:p>
      <w:pPr>
        <w:pStyle w:val="BoldModelerNormal"/>
      </w:pPr>
      <w:r>
        <w:t>REVISORES</w:t>
      </w:r>
    </w:p>
    <w:p>
      <w:pPr>
        <w:pStyle w:val="ModelerNormal"/>
        <w:spacing w:afterAutospacing="1"/>
      </w:pPr>
      <w:r>
        <w:t>Luma Damon</w:t>
      </w:r>
      <w:r>
        <w:t xml:space="preserve"> </w:t>
      </w:r>
      <w:r>
        <w:t>- Gerente de Processos</w:t>
      </w:r>
      <w:r>
        <w:br/>
      </w:r>
      <w:r>
        <w:t>Ana Carolina - Dona do Processo</w:t>
      </w:r>
      <w:r>
        <w:br/>
      </w:r>
      <w:r>
        <w:t>Geciele Gonçalves - Dona do Produto</w:t>
      </w:r>
    </w:p>
    <w:p>
      <w:pPr>
        <w:pStyle w:val="BoldModelerNormal"/>
      </w:pPr>
      <w:r>
        <w:t>VERSIONAMENTO</w:t>
      </w:r>
    </w:p>
    <w:tbl>
      <w:tblPr>
        <w:tblW w:w="5000" w:type="pct"/>
        <w:tblCellSpacing w:w="0" w:type="dxa"/>
        <w:tblInd w:w="16" w:type="dxa"/>
        <w:tblBorders>
          <w:top w:val="outset" w:sz="6" w:space="0" w:color="808080"/>
          <w:left w:val="outset" w:sz="6" w:space="0" w:color="808080"/>
          <w:bottom w:val="outset" w:sz="6" w:space="0" w:color="808080"/>
          <w:right w:val="outset" w:sz="6" w:space="0" w:color="808080"/>
        </w:tblBorders>
        <w:tblCellMar>
          <w:top w:w="0" w:type="dxa"/>
          <w:left w:w="0" w:type="dxa"/>
          <w:bottom w:w="0" w:type="dxa"/>
          <w:right w:w="0" w:type="dxa"/>
        </w:tblCellMar>
      </w:tblPr>
      <w:tblGrid>
        <w:gridCol w:w="751"/>
        <w:gridCol w:w="1194"/>
        <w:gridCol w:w="3015"/>
        <w:gridCol w:w="3831"/>
      </w:tblGrid>
      <w:tr>
        <w:tblPrEx>
          <w:tblW w:w="5000" w:type="pct"/>
          <w:tblCellSpacing w:w="0" w:type="dxa"/>
          <w:tblInd w:w="16" w:type="dxa"/>
          <w:tblBorders>
            <w:top w:val="outset" w:sz="6" w:space="0" w:color="808080"/>
            <w:left w:val="outset" w:sz="6" w:space="0" w:color="808080"/>
            <w:bottom w:val="outset" w:sz="6" w:space="0" w:color="808080"/>
            <w:right w:val="outset" w:sz="6" w:space="0" w:color="808080"/>
          </w:tblBorders>
          <w:tblCellMar>
            <w:top w:w="0" w:type="dxa"/>
            <w:left w:w="0" w:type="dxa"/>
            <w:bottom w:w="0" w:type="dxa"/>
            <w:right w:w="0" w:type="dxa"/>
          </w:tblCellMar>
        </w:tblPrEx>
        <w:trPr>
          <w:tblCellSpacing w:w="0" w:type="dxa"/>
        </w:trPr>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Versão</w:t>
            </w:r>
          </w:p>
        </w:tc>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Data</w:t>
            </w:r>
          </w:p>
        </w:tc>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Responsável</w:t>
            </w:r>
          </w:p>
        </w:tc>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Ação</w:t>
            </w:r>
          </w:p>
        </w:tc>
      </w:tr>
      <w:tr>
        <w:tblPrEx>
          <w:tblW w:w="5000" w:type="pct"/>
          <w:tblCellSpacing w:w="0" w:type="dxa"/>
          <w:tblInd w:w="16" w:type="dxa"/>
          <w:tblCellMar>
            <w:top w:w="0" w:type="dxa"/>
            <w:left w:w="0" w:type="dxa"/>
            <w:bottom w:w="0" w:type="dxa"/>
            <w:right w:w="0" w:type="dxa"/>
          </w:tblCellMar>
        </w:tblPrEx>
        <w:trPr>
          <w:tblCellSpacing w:w="0" w:type="dxa"/>
        </w:trPr>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1.0</w:t>
            </w:r>
          </w:p>
        </w:tc>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15/12/2022</w:t>
            </w:r>
          </w:p>
        </w:tc>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Thaís Roca</w:t>
            </w:r>
            <w:r>
              <w:br/>
            </w:r>
            <w:r>
              <w:t>Crislâny Andrade</w:t>
            </w:r>
          </w:p>
        </w:tc>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Modelagem do Processo de Negócio</w:t>
            </w:r>
          </w:p>
        </w:tc>
      </w:tr>
      <w:tr>
        <w:tblPrEx>
          <w:tblW w:w="5000" w:type="pct"/>
          <w:tblCellSpacing w:w="0" w:type="dxa"/>
          <w:tblInd w:w="16" w:type="dxa"/>
          <w:tblCellMar>
            <w:top w:w="0" w:type="dxa"/>
            <w:left w:w="0" w:type="dxa"/>
            <w:bottom w:w="0" w:type="dxa"/>
            <w:right w:w="0" w:type="dxa"/>
          </w:tblCellMar>
        </w:tblPrEx>
        <w:trPr>
          <w:tblCellSpacing w:w="0" w:type="dxa"/>
        </w:trPr>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1.1</w:t>
            </w:r>
          </w:p>
        </w:tc>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18/05/2023</w:t>
            </w:r>
          </w:p>
        </w:tc>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Thaís Roca</w:t>
            </w:r>
          </w:p>
        </w:tc>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Atualização de padrão textual</w:t>
            </w:r>
          </w:p>
        </w:tc>
      </w:tr>
    </w:tbl>
    <w:p>
      <w:pPr>
        <w:pStyle w:val="ModelerNormal"/>
        <w:spacing w:afterAutospacing="1"/>
      </w:pPr>
      <w:r>
        <w:t> </w:t>
      </w:r>
    </w:p>
    <w:p>
      <w:pPr>
        <w:pStyle w:val="BoldModelerNormal"/>
      </w:pPr>
      <w:r>
        <w:t xml:space="preserve">Versão: </w:t>
      </w:r>
    </w:p>
    <w:p>
      <w:pPr>
        <w:pStyle w:val="ModelerNormal"/>
      </w:pPr>
      <w:r>
        <w:t>1.0</w:t>
      </w:r>
    </w:p>
    <w:p>
      <w:pPr>
        <w:pStyle w:val="BoldModelerNormal"/>
      </w:pPr>
      <w:r>
        <w:t xml:space="preserve">Autor: </w:t>
      </w:r>
    </w:p>
    <w:p>
      <w:pPr>
        <w:pStyle w:val="ModelerNormal"/>
      </w:pPr>
      <w:r>
        <w:t>Governo de Rondônia | Superintendência Estadual de Tecnologia da Informação e Comunicação</w:t>
      </w:r>
    </w:p>
    <w:p>
      <w:pPr>
        <w:pStyle w:val="bizHeading2"/>
      </w:pPr>
      <w:bookmarkStart w:id="6" w:name="Id_f005c62f2a69469ca22a485b34cda38d"/>
      <w:bookmarkStart w:id="7" w:name="_Toc256000003"/>
      <w:r>
        <w:t>RETROVIGILÂNCIA - TO BE</w:t>
      </w:r>
      <w:bookmarkEnd w:id="7"/>
    </w:p>
    <w:p>
      <w:pPr>
        <w:pStyle w:val="bizHeading3"/>
      </w:pPr>
      <w:bookmarkEnd w:id="6"/>
      <w:bookmarkStart w:id="8" w:name="_Toc256000004"/>
      <w:r>
        <w:t>Elementos do processo</w:t>
      </w:r>
      <w:bookmarkEnd w:id="8"/>
    </w:p>
    <w:p>
      <w:pPr>
        <w:pStyle w:val="bizHeading4"/>
      </w:pPr>
      <w:bookmarkStart w:id="9" w:name="_Toc256000005"/>
      <w:r>
        <w:drawing>
          <wp:inline>
            <wp:extent cx="152421" cy="152421"/>
            <wp:docPr id="34726776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7207764" name=""/>
                    <pic:cNvPicPr>
                      <a:picLocks noChangeAspect="1"/>
                    </pic:cNvPicPr>
                  </pic:nvPicPr>
                  <pic:blipFill>
                    <a:blip xmlns:r="http://schemas.openxmlformats.org/officeDocument/2006/relationships" r:embed="rId7"/>
                    <a:stretch>
                      <a:fillRect/>
                    </a:stretch>
                  </pic:blipFill>
                  <pic:spPr>
                    <a:xfrm>
                      <a:off x="0" y="0"/>
                      <a:ext cx="152421" cy="152421"/>
                    </a:xfrm>
                    <a:prstGeom prst="rect">
                      <a:avLst/>
                    </a:prstGeom>
                  </pic:spPr>
                </pic:pic>
              </a:graphicData>
            </a:graphic>
          </wp:inline>
        </w:drawing>
      </w:r>
      <w:r>
        <w:t>1. Dar o aceite de notificação</w:t>
      </w:r>
      <w:bookmarkEnd w:id="9"/>
      <w:r>
        <w:t> </w:t>
      </w:r>
    </w:p>
    <w:p/>
    <w:p>
      <w:pPr>
        <w:pStyle w:val="BoldModelerNormal"/>
      </w:pPr>
      <w:r>
        <w:t>Descrição</w:t>
      </w:r>
    </w:p>
    <w:p>
      <w:pPr>
        <w:pStyle w:val="ModelerNormal"/>
        <w:spacing w:afterAutospacing="1"/>
      </w:pPr>
      <w:r>
        <w:t>Onde:</w:t>
      </w:r>
      <w:r>
        <w:t xml:space="preserve"> Sistema SIHRO</w:t>
      </w:r>
      <w:r>
        <w:br/>
      </w:r>
      <w:r>
        <w:br/>
      </w:r>
      <w:r>
        <w:t>O que:</w:t>
      </w:r>
      <w:r>
        <w:t xml:space="preserve"> Dar aceite de notificação recebida</w:t>
      </w:r>
      <w:r>
        <w:br/>
      </w:r>
      <w:r>
        <w:br/>
      </w:r>
      <w:r>
        <w:t>Quando:</w:t>
      </w:r>
      <w:r>
        <w:t xml:space="preserve"> Após doador ser bloqueado na Sorologia</w:t>
      </w:r>
      <w:r>
        <w:br/>
      </w:r>
      <w:r>
        <w:br/>
      </w:r>
      <w:r>
        <w:t>Como</w:t>
      </w:r>
      <w:r>
        <w:br/>
      </w:r>
      <w:r>
        <w:t>Tarefa 1:</w:t>
      </w:r>
      <w:r>
        <w:t xml:space="preserve"> Abrir o sistema SIHRO com login e senha;</w:t>
      </w:r>
      <w:r>
        <w:br/>
      </w:r>
      <w:r>
        <w:t>Tarefa 2:</w:t>
      </w:r>
      <w:r>
        <w:t xml:space="preserve"> Conferir as notificações dos doadores que foram bloqueados em testes sorológicos;</w:t>
      </w:r>
      <w:r>
        <w:br/>
      </w:r>
      <w:r>
        <w:t>Tarefa 3: </w:t>
      </w:r>
      <w:r>
        <w:t>Verificar resultado dos exames sorológicos disponibilizados de doadores bloqueados;</w:t>
      </w:r>
      <w:r>
        <w:br/>
      </w:r>
      <w:r>
        <w:t>Observações:</w:t>
      </w:r>
      <w:r>
        <w:br/>
      </w:r>
      <w:r>
        <w:t>1 - </w:t>
      </w:r>
      <w:r>
        <w:t>Na realização de testes sorológicos onde o resultado e reagentes (positivo), o sistema automaticamente bloqueia o doador, enviando relatório com exame realizado e resultado para a Retrovigilância informando sobre o doador que testou positivo;</w:t>
      </w:r>
      <w:r>
        <w:br/>
      </w:r>
      <w:r>
        <w:t xml:space="preserve">2 - </w:t>
      </w:r>
      <w:r>
        <w:t>A Sorologia enviará uma notificação para o Serviço Social com relatório com os nomes de doadores que devem ser convocados para realizar Consulta Médica de 2ª amostra;</w:t>
      </w:r>
      <w:r>
        <w:br/>
      </w:r>
      <w:r>
        <w:t>Ponto de Atenção: Haverá um perfil para Retrovigilância, devendo ser destinado a um responsável específico para que tenha acesso, pois conterá dados sigilosos.</w:t>
      </w:r>
      <w:r>
        <w:br/>
      </w:r>
      <w:r>
        <w:t>Tarefa 3:</w:t>
      </w:r>
      <w:r>
        <w:t xml:space="preserve"> Dar aceite no sistema de notificação recebida;</w:t>
      </w:r>
      <w:r>
        <w:br/>
      </w:r>
      <w:r>
        <w:br/>
      </w:r>
      <w:r>
        <w:t>Por que essa atividade acontece?</w:t>
      </w:r>
      <w:r>
        <w:br/>
      </w:r>
      <w:r>
        <w:t>Essa atividade acontece porque é necessário receber o relatório de doadores soropositivos, e dar aceite informando o recebimento do relatório para Retrovigilância.</w:t>
      </w:r>
    </w:p>
    <w:p>
      <w:pPr>
        <w:pStyle w:val="ModelerNormal"/>
        <w:spacing w:afterAutospacing="1"/>
      </w:pPr>
      <w:r>
        <w:t> </w:t>
      </w:r>
      <w:r>
        <w:t>PORTARIA Nº 158, DE 4 DE FEVEREIRO DE 2016</w:t>
      </w:r>
      <w:r>
        <w:t xml:space="preserve"> </w:t>
      </w:r>
    </w:p>
    <w:p>
      <w:pPr>
        <w:pStyle w:val="ModelerNormal"/>
        <w:spacing w:afterAutospacing="1"/>
      </w:pPr>
      <w:r>
        <w:t>Redefine o regulamento técnico de procedimentos hemoterápicos.</w:t>
      </w:r>
    </w:p>
    <w:p>
      <w:pPr>
        <w:pStyle w:val="ModelerNormal"/>
        <w:spacing w:afterAutospacing="1"/>
      </w:pPr>
      <w:r>
        <w:t>Art. 136. No caso do teste de confirmação do resultado inicial apontar resultado reagente (positivo ou inconclusivo), o serviço de hemoterapia verificará o destino de todos os componentes sanguíneos da(s) doação(ões) anterior(es), adotando os seguintes procedimentos:</w:t>
      </w:r>
      <w:r>
        <w:br/>
      </w:r>
      <w:r>
        <w:t>I - nos casos de soroconversão com confirmação dos resultados iniciais reagentes (positivo ou inconclusivo) para Anti-HIV, Anti-HCV, HBsAg ou Anti-HTLV I/II, realizar-se-á a investigação de retrovigilância da última doação com triagem sorológica não reagente e todas as doações realizadas até 6 (seis) meses antes desta;</w:t>
      </w:r>
      <w:r>
        <w:br/>
      </w:r>
      <w:r>
        <w:t>II - nos casos de soroconversão com confirmação do resultado inicial reagente (positivo ou inconclusivo) para Anti-HBc, realizar-se-á a investigação de retrovigilância para a última doação (mais recente) com triagem sorológica não reagente, caso esta tenha ocorrido menos de 12 (doze) meses antes da soroconversão; e</w:t>
      </w:r>
      <w:r>
        <w:br/>
      </w:r>
      <w:r>
        <w:t>III - nos casos de soroconversão para teste de detecção de ácido nucleico (NAT) para HIV, HCV e/ou HBV, com teste de triagem sorológica não reagente realizar-se-á a investigação de retrovigilância da última doação com triagem laboratorial negativa e todas as doações realizadas até 3 (três) meses antes desta.</w:t>
      </w:r>
      <w:r>
        <w:br/>
      </w:r>
      <w:r>
        <w:t>§ 1º O teste de detecção de ácido nucléico (NAT) do agente infeccioso que estiver sendo investigado pode ser realizado na amostra da doação anterior à soroconversão, utilizando amostra da plasmateca/soroteca ou da unidade de plasma armazenado.</w:t>
      </w:r>
      <w:r>
        <w:br/>
      </w:r>
      <w:r>
        <w:t>§ 2º Na hipótese do § 1º, o procedimento de retrovigilância deve ser realizado, independentemente do resultado obtido.</w:t>
      </w:r>
      <w:r>
        <w:br/>
      </w:r>
      <w:r>
        <w:t>§ 3º Caso ainda haja algum componente sanguíneo envolvido no procedimento de retrovigilância armazenado em qualquer serviço de hemoterapia, realizar-se-á a devolução para o serviço produtor para as providências cabíveis.</w:t>
      </w:r>
      <w:r>
        <w:t>  </w:t>
      </w:r>
    </w:p>
    <w:p>
      <w:pPr>
        <w:pStyle w:val="bizHeading4"/>
      </w:pPr>
      <w:bookmarkStart w:id="10" w:name="_Toc256000006"/>
      <w:r>
        <w:drawing>
          <wp:inline>
            <wp:extent cx="152421" cy="152421"/>
            <wp:docPr id="135467191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1106592" name=""/>
                    <pic:cNvPicPr>
                      <a:picLocks noChangeAspect="1"/>
                    </pic:cNvPicPr>
                  </pic:nvPicPr>
                  <pic:blipFill>
                    <a:blip xmlns:r="http://schemas.openxmlformats.org/officeDocument/2006/relationships" r:embed="rId7"/>
                    <a:stretch>
                      <a:fillRect/>
                    </a:stretch>
                  </pic:blipFill>
                  <pic:spPr>
                    <a:xfrm>
                      <a:off x="0" y="0"/>
                      <a:ext cx="152421" cy="152421"/>
                    </a:xfrm>
                    <a:prstGeom prst="rect">
                      <a:avLst/>
                    </a:prstGeom>
                  </pic:spPr>
                </pic:pic>
              </a:graphicData>
            </a:graphic>
          </wp:inline>
        </w:drawing>
      </w:r>
      <w:r>
        <w:t>2. Consultar histórico de doações do doador</w:t>
      </w:r>
      <w:bookmarkEnd w:id="10"/>
    </w:p>
    <w:p/>
    <w:p>
      <w:pPr>
        <w:pStyle w:val="BoldModelerNormal"/>
      </w:pPr>
      <w:r>
        <w:t>Descrição</w:t>
      </w:r>
    </w:p>
    <w:p>
      <w:pPr>
        <w:pStyle w:val="ModelerNormal"/>
        <w:spacing w:afterAutospacing="1"/>
      </w:pPr>
      <w:r>
        <w:t>Onde:</w:t>
      </w:r>
      <w:r>
        <w:t xml:space="preserve"> Sistema SIHRO</w:t>
      </w:r>
    </w:p>
    <w:p>
      <w:pPr>
        <w:pStyle w:val="ModelerNormal"/>
        <w:spacing w:afterAutospacing="1"/>
      </w:pPr>
      <w:r>
        <w:t> </w:t>
      </w:r>
    </w:p>
    <w:p>
      <w:pPr>
        <w:pStyle w:val="ModelerNormal"/>
        <w:spacing w:afterAutospacing="1"/>
      </w:pPr>
      <w:r>
        <w:t>O que:</w:t>
      </w:r>
      <w:r>
        <w:t xml:space="preserve"> Consultar histórico de doações do doador  </w:t>
      </w:r>
    </w:p>
    <w:p>
      <w:pPr>
        <w:pStyle w:val="ModelerNormal"/>
        <w:spacing w:afterAutospacing="1"/>
      </w:pPr>
      <w:r>
        <w:t> </w:t>
      </w:r>
    </w:p>
    <w:p>
      <w:pPr>
        <w:pStyle w:val="ModelerNormal"/>
        <w:spacing w:afterAutospacing="1"/>
      </w:pPr>
      <w:r>
        <w:t>Quando:</w:t>
      </w:r>
      <w:r>
        <w:t xml:space="preserve"> Após receber notificação doador positivo</w:t>
      </w:r>
    </w:p>
    <w:p>
      <w:pPr>
        <w:pStyle w:val="ModelerNormal"/>
        <w:spacing w:afterAutospacing="1"/>
      </w:pPr>
      <w:r>
        <w:t> </w:t>
      </w:r>
    </w:p>
    <w:p>
      <w:pPr>
        <w:pStyle w:val="ModelerNormal"/>
        <w:spacing w:afterAutospacing="1"/>
      </w:pPr>
      <w:r>
        <w:t>Como</w:t>
      </w:r>
    </w:p>
    <w:p>
      <w:pPr>
        <w:pStyle w:val="ModelerNormal"/>
        <w:spacing w:afterAutospacing="1"/>
      </w:pPr>
      <w:r>
        <w:t>Tarefa 1:</w:t>
      </w:r>
      <w:r>
        <w:t xml:space="preserve"> Conferir informações do exame do doador positivado;</w:t>
      </w:r>
    </w:p>
    <w:p>
      <w:pPr>
        <w:pStyle w:val="ModelerNormal"/>
        <w:spacing w:afterAutospacing="1"/>
      </w:pPr>
      <w:r>
        <w:t> </w:t>
      </w:r>
    </w:p>
    <w:p>
      <w:pPr>
        <w:pStyle w:val="ModelerNormal"/>
        <w:spacing w:afterAutospacing="1"/>
      </w:pPr>
      <w:r>
        <w:t xml:space="preserve">Tarefa 2: </w:t>
      </w:r>
      <w:r>
        <w:t>Consultar histórico de doações realizada pelo doador;</w:t>
      </w:r>
    </w:p>
    <w:p>
      <w:pPr>
        <w:pStyle w:val="ModelerNormal"/>
        <w:spacing w:afterAutospacing="1"/>
      </w:pPr>
      <w:r>
        <w:t>Obs.: </w:t>
      </w:r>
    </w:p>
    <w:p>
      <w:pPr>
        <w:pStyle w:val="ModelerNormal"/>
        <w:spacing w:afterAutospacing="1"/>
      </w:pPr>
      <w:r>
        <w:t>1- Através do código do doador que será único, poderá estar verificando doações e resultado de exames anteriores;</w:t>
      </w:r>
    </w:p>
    <w:p>
      <w:pPr>
        <w:pStyle w:val="ModelerNormal"/>
        <w:spacing w:afterAutospacing="1"/>
      </w:pPr>
      <w:r>
        <w:t> </w:t>
      </w:r>
    </w:p>
    <w:p>
      <w:pPr>
        <w:pStyle w:val="ModelerNormal"/>
        <w:spacing w:afterAutospacing="1"/>
      </w:pPr>
      <w:r>
        <w:t>Tarefa 3:</w:t>
      </w:r>
      <w:r>
        <w:t xml:space="preserve"> Verificar histórico da bolsa;</w:t>
      </w:r>
    </w:p>
    <w:p>
      <w:pPr>
        <w:pStyle w:val="ModelerNormal"/>
        <w:spacing w:afterAutospacing="1"/>
      </w:pPr>
      <w:r>
        <w:t>Obs.:</w:t>
      </w:r>
    </w:p>
    <w:p>
      <w:pPr>
        <w:pStyle w:val="ModelerNormal"/>
        <w:spacing w:afterAutospacing="1"/>
      </w:pPr>
      <w:r>
        <w:t>1- Através do sistema SIHRO poderá estar emitindo relatório referente a bolsa, verificando o status dela, os hemocomponentes processados, se a bolsa está no estoque ou se foi distribuída.</w:t>
      </w:r>
    </w:p>
    <w:p>
      <w:pPr>
        <w:pStyle w:val="ModelerNormal"/>
        <w:spacing w:afterAutospacing="1"/>
      </w:pPr>
      <w:r>
        <w:t> </w:t>
      </w:r>
    </w:p>
    <w:p>
      <w:pPr>
        <w:pStyle w:val="ModelerNormal"/>
        <w:spacing w:afterAutospacing="1"/>
      </w:pPr>
      <w:r>
        <w:t>Tarefa 4:</w:t>
      </w:r>
      <w:r>
        <w:t xml:space="preserve"> Emitir relatório de bolsa positivada junto às informações e histórico do doador;</w:t>
      </w:r>
    </w:p>
    <w:p>
      <w:pPr>
        <w:pStyle w:val="ModelerNormal"/>
        <w:spacing w:afterAutospacing="1"/>
      </w:pPr>
      <w:r>
        <w:t xml:space="preserve">Obs.: </w:t>
      </w:r>
    </w:p>
    <w:p>
      <w:pPr>
        <w:pStyle w:val="ModelerNormal"/>
        <w:spacing w:afterAutospacing="1"/>
      </w:pPr>
      <w:r>
        <w:t>1- Ao emitir relatório constará se a bolsa se encontra em estoque, podendo estar no setor de Processamento ou Agência Transfusional, Onde será notificado o setor em que a bolsa se encontra, para que mesma seja expurgada;</w:t>
      </w:r>
    </w:p>
    <w:p>
      <w:pPr>
        <w:pStyle w:val="ModelerNormal"/>
        <w:spacing w:afterAutospacing="1"/>
      </w:pPr>
      <w:r>
        <w:t>2 - Após notificar a bolsa para expurgo, aguardar a notificação de que a bolsa foi expurgada;</w:t>
      </w:r>
    </w:p>
    <w:p>
      <w:pPr>
        <w:pStyle w:val="ModelerNormal"/>
        <w:spacing w:afterAutospacing="1"/>
      </w:pPr>
      <w:r>
        <w:t>3 - Caso seja verificado que a bolsa já se encontra expurgada, será notificado à Vigilância em Saúde (Vigilância Epidemiológica Municipal e Agência Nacional de Vigilância Sanitária) sobre doador que testou positivo em exames sorológicos, sendo informado se o doador foi localizado ou não;</w:t>
      </w:r>
    </w:p>
    <w:p>
      <w:pPr>
        <w:pStyle w:val="ModelerNormal"/>
        <w:spacing w:afterAutospacing="1"/>
      </w:pPr>
      <w:r>
        <w:t>4 - Caso a bolsa tenha sido distribuída e não esteja mais na Fhemeron, constará no sistema a Requisição de Hemocomponentes para onde a bolsa foi distribuída, quem é o receptor da bolsa e se ela foi transfundida ou não.</w:t>
      </w:r>
    </w:p>
    <w:p>
      <w:pPr>
        <w:pStyle w:val="ModelerNormal"/>
        <w:spacing w:afterAutospacing="1"/>
      </w:pPr>
      <w:r>
        <w:t> </w:t>
      </w:r>
    </w:p>
    <w:p>
      <w:pPr>
        <w:pStyle w:val="ModelerNormal"/>
        <w:spacing w:afterAutospacing="1"/>
      </w:pPr>
      <w:r>
        <w:t>Por que essa atividade acontece?</w:t>
      </w:r>
    </w:p>
    <w:p>
      <w:pPr>
        <w:pStyle w:val="ModelerNormal"/>
        <w:spacing w:afterAutospacing="1"/>
      </w:pPr>
      <w:r>
        <w:t>Essa atividade acontece porque é necessário consultar o histórico do doador para verificar se há doações realizadas anteriormente, ou se há bolsa em estoque para que sejam expurgadas, sendo necessário toda informação para realização da Retrovigilância.</w:t>
      </w:r>
      <w:r>
        <w:br/>
      </w:r>
      <w:r>
        <w:t> </w:t>
      </w:r>
      <w:r>
        <w:br/>
      </w:r>
      <w:r>
        <w:t> </w:t>
      </w:r>
    </w:p>
    <w:p>
      <w:pPr>
        <w:pStyle w:val="bizHeading4"/>
      </w:pPr>
      <w:bookmarkStart w:id="11" w:name="_Toc256000007"/>
      <w:r>
        <w:drawing>
          <wp:inline>
            <wp:extent cx="152421" cy="152421"/>
            <wp:docPr id="197348365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857097" name=""/>
                    <pic:cNvPicPr>
                      <a:picLocks noChangeAspect="1"/>
                    </pic:cNvPicPr>
                  </pic:nvPicPr>
                  <pic:blipFill>
                    <a:blip xmlns:r="http://schemas.openxmlformats.org/officeDocument/2006/relationships" r:embed="rId8"/>
                    <a:stretch>
                      <a:fillRect/>
                    </a:stretch>
                  </pic:blipFill>
                  <pic:spPr>
                    <a:xfrm>
                      <a:off x="0" y="0"/>
                      <a:ext cx="152421" cy="152421"/>
                    </a:xfrm>
                    <a:prstGeom prst="rect">
                      <a:avLst/>
                    </a:prstGeom>
                  </pic:spPr>
                </pic:pic>
              </a:graphicData>
            </a:graphic>
          </wp:inline>
        </w:drawing>
      </w:r>
      <w:r>
        <w:t>3. Notificar hospital/clínica</w:t>
      </w:r>
      <w:bookmarkEnd w:id="11"/>
    </w:p>
    <w:p/>
    <w:p>
      <w:pPr>
        <w:pStyle w:val="BoldModelerNormal"/>
      </w:pPr>
      <w:r>
        <w:t>Descrição</w:t>
      </w:r>
    </w:p>
    <w:p>
      <w:pPr>
        <w:pStyle w:val="ModelerNormal"/>
        <w:spacing w:afterAutospacing="1"/>
      </w:pPr>
      <w:r>
        <w:t>Onde:</w:t>
      </w:r>
      <w:r>
        <w:t xml:space="preserve"> Sistema SIHRO</w:t>
      </w:r>
      <w:r>
        <w:br/>
      </w:r>
      <w:r>
        <w:br/>
      </w:r>
      <w:r>
        <w:t>O que:</w:t>
      </w:r>
      <w:r>
        <w:t xml:space="preserve"> Notificar hospital/clínica</w:t>
      </w:r>
      <w:r>
        <w:br/>
      </w:r>
      <w:r>
        <w:br/>
      </w:r>
      <w:r>
        <w:t>Quando:</w:t>
      </w:r>
      <w:r>
        <w:br/>
      </w:r>
      <w:r>
        <w:br/>
      </w:r>
      <w:r>
        <w:t>Como</w:t>
      </w:r>
      <w:r>
        <w:br/>
      </w:r>
      <w:r>
        <w:t>Tarefa 1:</w:t>
      </w:r>
      <w:r>
        <w:t xml:space="preserve"> Emitir notificação informando ao hospital/clínica de que bolsa recebida para transfusão, positivou em testes sorológicos;</w:t>
      </w:r>
      <w:r>
        <w:t xml:space="preserve"> </w:t>
      </w:r>
    </w:p>
    <w:p>
      <w:pPr>
        <w:pStyle w:val="ModelerNormal"/>
        <w:spacing w:afterAutospacing="1"/>
      </w:pPr>
      <w:r>
        <w:t>Observações:</w:t>
      </w:r>
      <w:r>
        <w:br/>
      </w:r>
      <w:r>
        <w:t xml:space="preserve">1 - </w:t>
      </w:r>
      <w:r>
        <w:t>Será emitido relatório contendo resultado de testes sorológicos e código da bolsa;</w:t>
      </w:r>
      <w:r>
        <w:br/>
      </w:r>
      <w:r>
        <w:t>2 -</w:t>
      </w:r>
      <w:r>
        <w:t xml:space="preserve"> Através do sistema SIHRO poderá ser verificado o histórico de solicitação de hemocomponentes.</w:t>
      </w:r>
      <w:r>
        <w:br/>
      </w:r>
      <w:r>
        <w:t>Tarefa 2:</w:t>
      </w:r>
      <w:r>
        <w:t xml:space="preserve"> Aguardar ciência do recebimento das informações.</w:t>
      </w:r>
      <w:r>
        <w:br/>
      </w:r>
      <w:r>
        <w:br/>
      </w:r>
      <w:r>
        <w:t>Por que essa atividade acontece?</w:t>
      </w:r>
      <w:r>
        <w:br/>
      </w:r>
      <w:r>
        <w:t>Essa atividade acontece pois é necessário que o hospital/clínica seja notificado sobre a bolsa que apresentou resultado positivo, para estar realizando uma investigação junto ao receptor que recebeu a bolsa de hemocomponentes do doador que soroconverteu.</w:t>
      </w:r>
      <w:r>
        <w:t>  </w:t>
      </w:r>
    </w:p>
    <w:p>
      <w:pPr>
        <w:pStyle w:val="BoldModelerNormal"/>
      </w:pPr>
      <w:r>
        <w:t>Implementação</w:t>
      </w:r>
    </w:p>
    <w:p>
      <w:pPr>
        <w:pStyle w:val="ModelerNormal"/>
      </w:pPr>
      <w:r>
        <w:t>Serviço Web</w:t>
      </w:r>
    </w:p>
    <w:p>
      <w:pPr>
        <w:pStyle w:val="bizHeading4"/>
      </w:pPr>
      <w:bookmarkStart w:id="12" w:name="_Toc256000008"/>
      <w:r>
        <w:drawing>
          <wp:inline>
            <wp:extent cx="152421" cy="152421"/>
            <wp:docPr id="187776237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240118" name=""/>
                    <pic:cNvPicPr>
                      <a:picLocks noChangeAspect="1"/>
                    </pic:cNvPicPr>
                  </pic:nvPicPr>
                  <pic:blipFill>
                    <a:blip xmlns:r="http://schemas.openxmlformats.org/officeDocument/2006/relationships" r:embed="rId7"/>
                    <a:stretch>
                      <a:fillRect/>
                    </a:stretch>
                  </pic:blipFill>
                  <pic:spPr>
                    <a:xfrm>
                      <a:off x="0" y="0"/>
                      <a:ext cx="152421" cy="152421"/>
                    </a:xfrm>
                    <a:prstGeom prst="rect">
                      <a:avLst/>
                    </a:prstGeom>
                  </pic:spPr>
                </pic:pic>
              </a:graphicData>
            </a:graphic>
          </wp:inline>
        </w:drawing>
      </w:r>
      <w:r>
        <w:t>3.  Dar aceite de notificação de expurgo</w:t>
      </w:r>
      <w:bookmarkEnd w:id="12"/>
    </w:p>
    <w:p/>
    <w:p>
      <w:pPr>
        <w:pStyle w:val="BoldModelerNormal"/>
      </w:pPr>
      <w:r>
        <w:t>Descrição</w:t>
      </w:r>
    </w:p>
    <w:p>
      <w:pPr>
        <w:pStyle w:val="ModelerNormal"/>
        <w:spacing w:afterAutospacing="1"/>
      </w:pPr>
      <w:r>
        <w:t>Onde:</w:t>
      </w:r>
      <w:r>
        <w:t xml:space="preserve"> Sistema SIHRO</w:t>
      </w:r>
      <w:r>
        <w:br/>
      </w:r>
      <w:r>
        <w:br/>
      </w:r>
      <w:r>
        <w:t>O que:</w:t>
      </w:r>
      <w:r>
        <w:t xml:space="preserve"> Dar aceite de notificação de expurgo</w:t>
      </w:r>
      <w:r>
        <w:br/>
      </w:r>
      <w:r>
        <w:br/>
      </w:r>
      <w:r>
        <w:t>Quando:</w:t>
      </w:r>
      <w:r>
        <w:t xml:space="preserve"> Após envio de notificação pela responsável da Retrovigilância</w:t>
      </w:r>
      <w:r>
        <w:br/>
      </w:r>
      <w:r>
        <w:br/>
      </w:r>
      <w:r>
        <w:t>Como</w:t>
      </w:r>
      <w:r>
        <w:br/>
      </w:r>
      <w:r>
        <w:t>Tarefa 1:</w:t>
      </w:r>
      <w:r>
        <w:t xml:space="preserve"> Abrir sistema SIHRO com login e senha;</w:t>
      </w:r>
      <w:r>
        <w:br/>
      </w:r>
      <w:r>
        <w:t>Tarefa 2:</w:t>
      </w:r>
      <w:r>
        <w:t xml:space="preserve"> Verificar notificações;</w:t>
      </w:r>
    </w:p>
    <w:p>
      <w:pPr>
        <w:pStyle w:val="ModelerNormal"/>
        <w:spacing w:afterAutospacing="1"/>
      </w:pPr>
      <w:r>
        <w:t>Observações: </w:t>
      </w:r>
      <w:r>
        <w:br/>
      </w:r>
      <w:r>
        <w:t>1-</w:t>
      </w:r>
      <w:r>
        <w:t xml:space="preserve"> A notificação será enviada pelo responsável da Retrovigilância sobre bolsas que testaram positivos na sorologia e devem ser expurgadas;</w:t>
      </w:r>
      <w:r>
        <w:br/>
      </w:r>
      <w:r>
        <w:t xml:space="preserve">2 - </w:t>
      </w:r>
      <w:r>
        <w:t>A notificação poderá ser visualizada por qualquer pessoa (Técnico ou Responsável do setor que tenha acesso ao sistema) para expurgar a bolsa;</w:t>
      </w:r>
      <w:r>
        <w:br/>
      </w:r>
      <w:r>
        <w:t>Tarefa 3:</w:t>
      </w:r>
      <w:r>
        <w:t xml:space="preserve"> Dar aceite de que recebeu notificação de bolsa que deve ser expurgada;</w:t>
      </w:r>
      <w:r>
        <w:br/>
      </w:r>
      <w:r>
        <w:t xml:space="preserve">Tarefa 4: </w:t>
      </w:r>
      <w:r>
        <w:t>Procurar bolsas de hemocomponentes no estoque;</w:t>
      </w:r>
      <w:r>
        <w:br/>
      </w:r>
      <w:r>
        <w:br/>
      </w:r>
      <w:r>
        <w:t>Por que essa atividade acontece? </w:t>
      </w:r>
      <w:r>
        <w:br/>
      </w:r>
      <w:r>
        <w:t>Essa atividade acontece porque é necessário confirmar o recebimento da notificação de bolsa que deve ser expurgada.</w:t>
      </w:r>
    </w:p>
    <w:p>
      <w:pPr>
        <w:pStyle w:val="bizHeading4"/>
      </w:pPr>
      <w:bookmarkStart w:id="13" w:name="_Toc256000009"/>
      <w:r>
        <w:drawing>
          <wp:inline>
            <wp:extent cx="152421" cy="152421"/>
            <wp:docPr id="137344081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3943227" name=""/>
                    <pic:cNvPicPr>
                      <a:picLocks noChangeAspect="1"/>
                    </pic:cNvPicPr>
                  </pic:nvPicPr>
                  <pic:blipFill>
                    <a:blip xmlns:r="http://schemas.openxmlformats.org/officeDocument/2006/relationships" r:embed="rId7"/>
                    <a:stretch>
                      <a:fillRect/>
                    </a:stretch>
                  </pic:blipFill>
                  <pic:spPr>
                    <a:xfrm>
                      <a:off x="0" y="0"/>
                      <a:ext cx="152421" cy="152421"/>
                    </a:xfrm>
                    <a:prstGeom prst="rect">
                      <a:avLst/>
                    </a:prstGeom>
                  </pic:spPr>
                </pic:pic>
              </a:graphicData>
            </a:graphic>
          </wp:inline>
        </w:drawing>
      </w:r>
      <w:r>
        <w:t>4. Expurgar bolsa</w:t>
      </w:r>
      <w:bookmarkEnd w:id="13"/>
    </w:p>
    <w:p/>
    <w:p>
      <w:pPr>
        <w:pStyle w:val="BoldModelerNormal"/>
      </w:pPr>
      <w:r>
        <w:t>Descrição</w:t>
      </w:r>
    </w:p>
    <w:p>
      <w:pPr>
        <w:pStyle w:val="ModelerNormal"/>
        <w:spacing w:afterAutospacing="1"/>
      </w:pPr>
      <w:r>
        <w:t>Onde:</w:t>
      </w:r>
      <w:r>
        <w:t xml:space="preserve"> Sistema SIHRO</w:t>
      </w:r>
      <w:r>
        <w:br/>
      </w:r>
      <w:r>
        <w:br/>
      </w:r>
      <w:r>
        <w:t>O que:</w:t>
      </w:r>
      <w:r>
        <w:t xml:space="preserve"> Expurgar bolsa</w:t>
      </w:r>
      <w:r>
        <w:br/>
      </w:r>
      <w:r>
        <w:br/>
      </w:r>
      <w:r>
        <w:t>Quando:</w:t>
      </w:r>
      <w:r>
        <w:t xml:space="preserve"> Após pegar bolsa do estoque</w:t>
      </w:r>
      <w:r>
        <w:br/>
      </w:r>
      <w:r>
        <w:br/>
      </w:r>
      <w:r>
        <w:t>Como</w:t>
      </w:r>
      <w:r>
        <w:br/>
      </w:r>
      <w:r>
        <w:t>Tarefa 1:</w:t>
      </w:r>
      <w:r>
        <w:t xml:space="preserve"> Acessar o sistema SIHRO com login e senha;</w:t>
      </w:r>
      <w:r>
        <w:br/>
      </w:r>
      <w:r>
        <w:t>Tarefa 2:</w:t>
      </w:r>
      <w:r>
        <w:t xml:space="preserve"> Abrir a aba de estoque de bolsas do setor da Agência Transfusional;</w:t>
      </w:r>
      <w:r>
        <w:br/>
      </w:r>
      <w:r>
        <w:t>Tarefa 3:</w:t>
      </w:r>
      <w:r>
        <w:t xml:space="preserve"> Selecionar o hemocomponente a ser expurgado no sistema  SIHRO;</w:t>
      </w:r>
    </w:p>
    <w:p>
      <w:pPr>
        <w:pStyle w:val="ModelerNormal"/>
        <w:spacing w:afterAutospacing="1"/>
      </w:pPr>
      <w:r>
        <w:t>Observação:</w:t>
      </w:r>
      <w:r>
        <w:br/>
      </w:r>
      <w:r>
        <w:t>1 -  Ao acessar o estoque de hemocomponentes, o técnico conseguirá selecionar a bolsa a ser expurgada;</w:t>
      </w:r>
      <w:r>
        <w:br/>
      </w:r>
      <w:r>
        <w:t>Tarefa 4:</w:t>
      </w:r>
      <w:r>
        <w:t xml:space="preserve"> Assinalar motivo de expurgo;</w:t>
      </w:r>
      <w:r>
        <w:br/>
      </w:r>
      <w:r>
        <w:t>Tarefa 5:</w:t>
      </w:r>
      <w:r>
        <w:t xml:space="preserve"> Clicar em expurgar bolsa.</w:t>
      </w:r>
      <w:r>
        <w:br/>
      </w:r>
      <w:r>
        <w:t>Tarefa 6:</w:t>
      </w:r>
      <w:r>
        <w:t xml:space="preserve"> Realizar a assinatura digital.</w:t>
      </w:r>
      <w:r>
        <w:br/>
      </w:r>
      <w:r>
        <w:t>Ponto de Atenção: Ao finalizar o expurgo da bolsa, e necessário retornar para o responsável pela retrovigilância a informação da bolsa sendo expurgada como foi solicitado.</w:t>
      </w:r>
      <w:r>
        <w:br/>
      </w:r>
      <w:r>
        <w:br/>
      </w:r>
      <w:r>
        <w:t>Por que essa atividade acontece?</w:t>
      </w:r>
      <w:r>
        <w:br/>
      </w:r>
      <w:r>
        <w:t>Essa atividade acontece porque é necessário expurgar a bolsa e informar o responsável pela retrovigilância após notificar doador positivo nos testes sorológicos, e registro do expurgo para fins de rastreabilidade.</w:t>
      </w:r>
      <w:r>
        <w:br/>
      </w:r>
      <w:r>
        <w:t> </w:t>
      </w:r>
    </w:p>
    <w:p>
      <w:pPr>
        <w:pStyle w:val="ModelerNormal"/>
        <w:spacing w:afterAutospacing="1"/>
      </w:pPr>
      <w:r>
        <w:t>PORTARIA Nº 158, DE 4 DE FEVEREIRO DE 2016</w:t>
      </w:r>
      <w:r>
        <w:t xml:space="preserve"> </w:t>
      </w:r>
    </w:p>
    <w:p>
      <w:pPr>
        <w:pStyle w:val="ModelerNormal"/>
        <w:spacing w:afterAutospacing="1"/>
      </w:pPr>
      <w:r>
        <w:t>Redefine o regulamento técnico de procedimentos hemoterápicos.</w:t>
      </w:r>
    </w:p>
    <w:p>
      <w:pPr>
        <w:pStyle w:val="ModelerNormal"/>
        <w:spacing w:afterAutospacing="1"/>
      </w:pPr>
      <w:r>
        <w:t>Art. 137. Compete ao serviço de hemoterapia:</w:t>
      </w:r>
      <w:r>
        <w:br/>
      </w:r>
      <w:r>
        <w:t>II - descartar as bolsas de componentes sanguíneos que tenham resultado reagente em qualquer um dos testes obrigatórios para infecções transmissíveis pelo sangue realizados na triagem laboratorial, segundo os preceitos estabelecidos na legislação pertinente;</w:t>
      </w:r>
    </w:p>
    <w:p>
      <w:pPr>
        <w:pStyle w:val="ModelerNormal"/>
        <w:spacing w:afterAutospacing="1"/>
      </w:pPr>
      <w:r>
        <w:t> </w:t>
      </w:r>
    </w:p>
    <w:p>
      <w:pPr>
        <w:pStyle w:val="bizHeading4"/>
      </w:pPr>
      <w:bookmarkStart w:id="14" w:name="_Toc256000010"/>
      <w:r>
        <w:drawing>
          <wp:inline>
            <wp:extent cx="152421" cy="152421"/>
            <wp:docPr id="203929760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1709851" name=""/>
                    <pic:cNvPicPr>
                      <a:picLocks noChangeAspect="1"/>
                    </pic:cNvPicPr>
                  </pic:nvPicPr>
                  <pic:blipFill>
                    <a:blip xmlns:r="http://schemas.openxmlformats.org/officeDocument/2006/relationships" r:embed="rId9"/>
                    <a:stretch>
                      <a:fillRect/>
                    </a:stretch>
                  </pic:blipFill>
                  <pic:spPr>
                    <a:xfrm>
                      <a:off x="0" y="0"/>
                      <a:ext cx="152421" cy="152421"/>
                    </a:xfrm>
                    <a:prstGeom prst="rect">
                      <a:avLst/>
                    </a:prstGeom>
                  </pic:spPr>
                </pic:pic>
              </a:graphicData>
            </a:graphic>
          </wp:inline>
        </w:drawing>
      </w:r>
      <w:r>
        <w:t>Informações da bolsa</w:t>
      </w:r>
      <w:bookmarkEnd w:id="14"/>
    </w:p>
    <w:p/>
    <w:p>
      <w:pPr>
        <w:pStyle w:val="bizHeading4"/>
      </w:pPr>
      <w:bookmarkStart w:id="15" w:name="_Toc256000011"/>
      <w:r>
        <w:drawing>
          <wp:inline>
            <wp:extent cx="152421" cy="152421"/>
            <wp:docPr id="167667201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5638951" name=""/>
                    <pic:cNvPicPr>
                      <a:picLocks noChangeAspect="1"/>
                    </pic:cNvPicPr>
                  </pic:nvPicPr>
                  <pic:blipFill>
                    <a:blip xmlns:r="http://schemas.openxmlformats.org/officeDocument/2006/relationships" r:embed="rId7"/>
                    <a:stretch>
                      <a:fillRect/>
                    </a:stretch>
                  </pic:blipFill>
                  <pic:spPr>
                    <a:xfrm>
                      <a:off x="0" y="0"/>
                      <a:ext cx="152421" cy="152421"/>
                    </a:xfrm>
                    <a:prstGeom prst="rect">
                      <a:avLst/>
                    </a:prstGeom>
                  </pic:spPr>
                </pic:pic>
              </a:graphicData>
            </a:graphic>
          </wp:inline>
        </w:drawing>
      </w:r>
      <w:r>
        <w:t>3. Dar aceite de notificação de expurgo</w:t>
      </w:r>
      <w:bookmarkEnd w:id="15"/>
    </w:p>
    <w:p/>
    <w:p>
      <w:pPr>
        <w:pStyle w:val="BoldModelerNormal"/>
      </w:pPr>
      <w:r>
        <w:t>Descrição</w:t>
      </w:r>
    </w:p>
    <w:p>
      <w:pPr>
        <w:pStyle w:val="ModelerNormal"/>
        <w:spacing w:afterAutospacing="1"/>
      </w:pPr>
      <w:r>
        <w:t>Onde:</w:t>
      </w:r>
      <w:r>
        <w:t xml:space="preserve"> Sistema SIHRO</w:t>
      </w:r>
      <w:r>
        <w:br/>
      </w:r>
      <w:r>
        <w:br/>
      </w:r>
      <w:r>
        <w:t>O que:</w:t>
      </w:r>
      <w:r>
        <w:t xml:space="preserve"> Dar aceite de notificação de expurgo</w:t>
      </w:r>
      <w:r>
        <w:br/>
      </w:r>
      <w:r>
        <w:br/>
      </w:r>
      <w:r>
        <w:t>Quando:</w:t>
      </w:r>
      <w:r>
        <w:t xml:space="preserve"> Após envio da notificação pelo responsável da retrovigilância</w:t>
      </w:r>
      <w:r>
        <w:br/>
      </w:r>
      <w:r>
        <w:br/>
      </w:r>
      <w:r>
        <w:t>Como</w:t>
      </w:r>
      <w:r>
        <w:br/>
      </w:r>
      <w:r>
        <w:t>Tarefa 1:</w:t>
      </w:r>
      <w:r>
        <w:t xml:space="preserve"> Abrir sistema SIHRO com login e senha;</w:t>
      </w:r>
      <w:r>
        <w:br/>
      </w:r>
      <w:r>
        <w:t>Tarefa 2:</w:t>
      </w:r>
      <w:r>
        <w:t xml:space="preserve"> Verificar notificações;</w:t>
      </w:r>
    </w:p>
    <w:p>
      <w:pPr>
        <w:pStyle w:val="ModelerNormal"/>
        <w:spacing w:afterAutospacing="1"/>
      </w:pPr>
      <w:r>
        <w:t>Observações:</w:t>
      </w:r>
    </w:p>
    <w:p>
      <w:pPr>
        <w:pStyle w:val="ModelerNormal"/>
        <w:spacing w:afterAutospacing="1"/>
      </w:pPr>
      <w:r>
        <w:t xml:space="preserve">1- </w:t>
      </w:r>
      <w:r>
        <w:t>O responsável da Retrovigilância notificará o setor de bolsa que deve ser expurgada.</w:t>
      </w:r>
      <w:r>
        <w:br/>
      </w:r>
      <w:r>
        <w:t>2 -</w:t>
      </w:r>
      <w:r>
        <w:t xml:space="preserve"> A notificação poderá ser visualizada por qualquer pessoa (Técnico ou Responsável do setor que tenha acesso ao sistema) para expurgar a bolsa;</w:t>
      </w:r>
      <w:r>
        <w:br/>
      </w:r>
      <w:r>
        <w:t>Tarefa 3:</w:t>
      </w:r>
      <w:r>
        <w:t xml:space="preserve"> Dar aceite de que recebeu notificação de bolsa que deve ser expurgada;</w:t>
      </w:r>
      <w:r>
        <w:br/>
      </w:r>
      <w:r>
        <w:t>Tarefa 4:</w:t>
      </w:r>
      <w:r>
        <w:t xml:space="preserve"> Procurar bolsas de hemocomponentes no estoque.</w:t>
      </w:r>
      <w:r>
        <w:br/>
      </w:r>
      <w:r>
        <w:br/>
      </w:r>
      <w:r>
        <w:t>Por que essa atividade acontece?</w:t>
      </w:r>
      <w:r>
        <w:br/>
      </w:r>
      <w:r>
        <w:t>Essa atividade acontece porque é necessário confirmar o recebimento da notificação de bolsa que deve ser expurgada.</w:t>
      </w:r>
      <w:r>
        <w:t> </w:t>
      </w:r>
    </w:p>
    <w:p>
      <w:pPr>
        <w:pStyle w:val="bizHeading4"/>
      </w:pPr>
      <w:bookmarkStart w:id="16" w:name="_Toc256000012"/>
      <w:r>
        <w:drawing>
          <wp:inline>
            <wp:extent cx="152421" cy="152421"/>
            <wp:docPr id="146402275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3910709" name=""/>
                    <pic:cNvPicPr>
                      <a:picLocks noChangeAspect="1"/>
                    </pic:cNvPicPr>
                  </pic:nvPicPr>
                  <pic:blipFill>
                    <a:blip xmlns:r="http://schemas.openxmlformats.org/officeDocument/2006/relationships" r:embed="rId7"/>
                    <a:stretch>
                      <a:fillRect/>
                    </a:stretch>
                  </pic:blipFill>
                  <pic:spPr>
                    <a:xfrm>
                      <a:off x="0" y="0"/>
                      <a:ext cx="152421" cy="152421"/>
                    </a:xfrm>
                    <a:prstGeom prst="rect">
                      <a:avLst/>
                    </a:prstGeom>
                  </pic:spPr>
                </pic:pic>
              </a:graphicData>
            </a:graphic>
          </wp:inline>
        </w:drawing>
      </w:r>
      <w:r>
        <w:t>4. Expurgar bolsa</w:t>
      </w:r>
      <w:bookmarkEnd w:id="16"/>
      <w:r>
        <w:t> </w:t>
      </w:r>
    </w:p>
    <w:p/>
    <w:p>
      <w:pPr>
        <w:pStyle w:val="BoldModelerNormal"/>
      </w:pPr>
      <w:r>
        <w:t>Descrição</w:t>
      </w:r>
    </w:p>
    <w:p>
      <w:pPr>
        <w:pStyle w:val="ModelerNormal"/>
        <w:spacing w:afterAutospacing="1"/>
      </w:pPr>
      <w:r>
        <w:t>Onde:</w:t>
      </w:r>
      <w:r>
        <w:t xml:space="preserve"> Sistema SIHRO</w:t>
      </w:r>
      <w:r>
        <w:br/>
      </w:r>
      <w:r>
        <w:br/>
      </w:r>
      <w:r>
        <w:t>O que:</w:t>
      </w:r>
      <w:r>
        <w:t xml:space="preserve"> Expurgar bolsa</w:t>
      </w:r>
      <w:r>
        <w:br/>
      </w:r>
      <w:r>
        <w:br/>
      </w:r>
      <w:r>
        <w:t>Quando:</w:t>
      </w:r>
      <w:r>
        <w:t xml:space="preserve"> Após pegar bolsa do estoque</w:t>
      </w:r>
      <w:r>
        <w:br/>
      </w:r>
      <w:r>
        <w:br/>
      </w:r>
      <w:r>
        <w:t>Como</w:t>
      </w:r>
      <w:r>
        <w:br/>
      </w:r>
      <w:r>
        <w:t>Tarefa 1:</w:t>
      </w:r>
      <w:r>
        <w:t xml:space="preserve"> Acessar o sistema SIHRO com login e senha;</w:t>
      </w:r>
      <w:r>
        <w:br/>
      </w:r>
      <w:r>
        <w:t>Tarefa 2:</w:t>
      </w:r>
      <w:r>
        <w:t xml:space="preserve"> Abrir a aba de estoque de bolsas do setor de Processamento;</w:t>
      </w:r>
      <w:r>
        <w:br/>
      </w:r>
      <w:r>
        <w:t>Tarefa 3:</w:t>
      </w:r>
      <w:r>
        <w:t xml:space="preserve"> Selecionar o hemocomponente a ser expurgado no sistema  SIHRO;</w:t>
      </w:r>
    </w:p>
    <w:p>
      <w:pPr>
        <w:pStyle w:val="ModelerNormal"/>
        <w:spacing w:afterAutospacing="1"/>
      </w:pPr>
      <w:r>
        <w:t>Observações:</w:t>
      </w:r>
      <w:r>
        <w:br/>
      </w:r>
      <w:r>
        <w:t>1 -  Ao acessar o estoque de hemocomponentes, o técnico conseguirá selecionar a bolsa a ser expurgada;</w:t>
      </w:r>
      <w:r>
        <w:br/>
      </w:r>
      <w:r>
        <w:t>Tarefa 4:</w:t>
      </w:r>
      <w:r>
        <w:t xml:space="preserve"> Assinalar motivo de expurgo;</w:t>
      </w:r>
      <w:r>
        <w:br/>
      </w:r>
      <w:r>
        <w:t>Tarefa 5:</w:t>
      </w:r>
      <w:r>
        <w:t xml:space="preserve"> Clicar em expurgar bolsa.</w:t>
      </w:r>
      <w:r>
        <w:br/>
      </w:r>
      <w:r>
        <w:t>Tarefa 6:</w:t>
      </w:r>
      <w:r>
        <w:t xml:space="preserve"> Realizar a assinatura digital.</w:t>
      </w:r>
      <w:r>
        <w:br/>
      </w:r>
      <w:r>
        <w:t>Ponto de Atenção: Ao finalizar o expurgo da bolsa, é necessário retornar para o responsável pela retrovigilância a informação da bolsa sendo expurgada como foi solicitado.</w:t>
      </w:r>
      <w:r>
        <w:br/>
      </w:r>
      <w:r>
        <w:br/>
      </w:r>
      <w:r>
        <w:t>Por que essa atividade acontece?</w:t>
      </w:r>
      <w:r>
        <w:br/>
      </w:r>
      <w:r>
        <w:t>Essa atividade acontece porque é necessário expurgar a bolsa que foi notificada para expurgo e logo após informar o responsável pela retrovigilância.</w:t>
      </w:r>
    </w:p>
    <w:p>
      <w:pPr>
        <w:pStyle w:val="ModelerNormal"/>
        <w:spacing w:afterAutospacing="1"/>
      </w:pPr>
      <w:r>
        <w:t>PORTARIA Nº 158, DE 4 DE FEVEREIRO DE 2016</w:t>
      </w:r>
      <w:r>
        <w:t xml:space="preserve"> </w:t>
      </w:r>
    </w:p>
    <w:p>
      <w:pPr>
        <w:pStyle w:val="ModelerNormal"/>
        <w:spacing w:afterAutospacing="1"/>
      </w:pPr>
      <w:r>
        <w:t>Redefine o regulamento técnico de procedimentos hemoterápicos.</w:t>
      </w:r>
    </w:p>
    <w:p>
      <w:pPr>
        <w:pStyle w:val="ModelerNormal"/>
        <w:spacing w:afterAutospacing="1"/>
      </w:pPr>
      <w:r>
        <w:t>Art. 137. Compete ao serviço de hemoterapia:</w:t>
      </w:r>
      <w:r>
        <w:br/>
      </w:r>
      <w:r>
        <w:t>II - descartar as bolsas de componentes sanguíneos que tenham resultado reagente em qualquer um dos testes obrigatórios para infecções transmissíveis pelo sangue realizados na triagem laboratorial, segundo os preceitos estabelecidos na legislação pertinente;</w:t>
      </w:r>
      <w:r>
        <w:t> </w:t>
      </w:r>
    </w:p>
    <w:p>
      <w:pPr>
        <w:pStyle w:val="bizHeading4"/>
      </w:pPr>
      <w:bookmarkStart w:id="17" w:name="_Toc256000013"/>
      <w:r>
        <w:drawing>
          <wp:inline>
            <wp:extent cx="152421" cy="152421"/>
            <wp:docPr id="140278550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321775" name=""/>
                    <pic:cNvPicPr>
                      <a:picLocks noChangeAspect="1"/>
                    </pic:cNvPicPr>
                  </pic:nvPicPr>
                  <pic:blipFill>
                    <a:blip xmlns:r="http://schemas.openxmlformats.org/officeDocument/2006/relationships" r:embed="rId9"/>
                    <a:stretch>
                      <a:fillRect/>
                    </a:stretch>
                  </pic:blipFill>
                  <pic:spPr>
                    <a:xfrm>
                      <a:off x="0" y="0"/>
                      <a:ext cx="152421" cy="152421"/>
                    </a:xfrm>
                    <a:prstGeom prst="rect">
                      <a:avLst/>
                    </a:prstGeom>
                  </pic:spPr>
                </pic:pic>
              </a:graphicData>
            </a:graphic>
          </wp:inline>
        </w:drawing>
      </w:r>
      <w:r>
        <w:t>Informações da bolsa</w:t>
      </w:r>
      <w:bookmarkEnd w:id="17"/>
    </w:p>
    <w:p/>
    <w:p>
      <w:pPr>
        <w:pStyle w:val="bizHeading4"/>
      </w:pPr>
      <w:bookmarkStart w:id="18" w:name="_Toc256000014"/>
      <w:r>
        <w:drawing>
          <wp:inline>
            <wp:extent cx="152421" cy="152421"/>
            <wp:docPr id="206607375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5737917" name=""/>
                    <pic:cNvPicPr>
                      <a:picLocks noChangeAspect="1"/>
                    </pic:cNvPicPr>
                  </pic:nvPicPr>
                  <pic:blipFill>
                    <a:blip xmlns:r="http://schemas.openxmlformats.org/officeDocument/2006/relationships" r:embed="rId10"/>
                    <a:stretch>
                      <a:fillRect/>
                    </a:stretch>
                  </pic:blipFill>
                  <pic:spPr>
                    <a:xfrm>
                      <a:off x="0" y="0"/>
                      <a:ext cx="152421" cy="152421"/>
                    </a:xfrm>
                    <a:prstGeom prst="rect">
                      <a:avLst/>
                    </a:prstGeom>
                  </pic:spPr>
                </pic:pic>
              </a:graphicData>
            </a:graphic>
          </wp:inline>
        </w:drawing>
      </w:r>
      <w:r>
        <w:t>Informações da bolsa</w:t>
      </w:r>
      <w:bookmarkEnd w:id="18"/>
    </w:p>
    <w:p/>
    <w:p>
      <w:pPr>
        <w:pStyle w:val="bizHeading4"/>
      </w:pPr>
      <w:bookmarkStart w:id="19" w:name="_Toc256000015"/>
      <w:r>
        <w:drawing>
          <wp:inline>
            <wp:extent cx="152421" cy="152421"/>
            <wp:docPr id="115381070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567800" name=""/>
                    <pic:cNvPicPr>
                      <a:picLocks noChangeAspect="1"/>
                    </pic:cNvPicPr>
                  </pic:nvPicPr>
                  <pic:blipFill>
                    <a:blip xmlns:r="http://schemas.openxmlformats.org/officeDocument/2006/relationships" r:embed="rId7"/>
                    <a:stretch>
                      <a:fillRect/>
                    </a:stretch>
                  </pic:blipFill>
                  <pic:spPr>
                    <a:xfrm>
                      <a:off x="0" y="0"/>
                      <a:ext cx="152421" cy="152421"/>
                    </a:xfrm>
                    <a:prstGeom prst="rect">
                      <a:avLst/>
                    </a:prstGeom>
                  </pic:spPr>
                </pic:pic>
              </a:graphicData>
            </a:graphic>
          </wp:inline>
        </w:drawing>
      </w:r>
      <w:r>
        <w:t>4. Notificar Vigilância em Saúde e finalizar Retrovigilância</w:t>
      </w:r>
      <w:bookmarkEnd w:id="19"/>
    </w:p>
    <w:p/>
    <w:p>
      <w:pPr>
        <w:pStyle w:val="BoldModelerNormal"/>
      </w:pPr>
      <w:r>
        <w:t>Descrição</w:t>
      </w:r>
    </w:p>
    <w:p>
      <w:pPr>
        <w:pStyle w:val="ModelerNormal"/>
        <w:spacing w:afterAutospacing="1"/>
      </w:pPr>
      <w:r>
        <w:t>Onde:</w:t>
      </w:r>
      <w:r>
        <w:t xml:space="preserve"> Sistema SIHRO</w:t>
      </w:r>
      <w:r>
        <w:br/>
      </w:r>
      <w:r>
        <w:br/>
      </w:r>
      <w:r>
        <w:t xml:space="preserve">O que: </w:t>
      </w:r>
      <w:r>
        <w:t>Notificar vigilância em saúde</w:t>
      </w:r>
      <w:r>
        <w:br/>
      </w:r>
      <w:r>
        <w:br/>
      </w:r>
      <w:r>
        <w:t xml:space="preserve">Quando: </w:t>
      </w:r>
      <w:r>
        <w:t>Após o responsável da Retrovigilância obter todas as informações referente a bolsa</w:t>
      </w:r>
      <w:r>
        <w:br/>
      </w:r>
      <w:r>
        <w:br/>
      </w:r>
      <w:r>
        <w:t>Como</w:t>
      </w:r>
      <w:r>
        <w:br/>
      </w:r>
      <w:r>
        <w:t>Tarefa 1:</w:t>
      </w:r>
      <w:r>
        <w:t xml:space="preserve"> Compilar as informações referente a Retrovigilância e contatar à Vigilância em Saúde; </w:t>
      </w:r>
    </w:p>
    <w:p>
      <w:pPr>
        <w:pStyle w:val="ModelerNormal"/>
        <w:spacing w:afterAutospacing="1"/>
      </w:pPr>
      <w:r>
        <w:t>Observações:</w:t>
      </w:r>
      <w:r>
        <w:br/>
      </w:r>
      <w:r>
        <w:t xml:space="preserve">1 - </w:t>
      </w:r>
      <w:r>
        <w:t>O responsável pela Retrovigilância será notificado pelo setor de Processamento e/ou Agência Transfusional caso a bolsa do doador que estava no estoque foi expurgada.</w:t>
      </w:r>
      <w:r>
        <w:br/>
      </w:r>
      <w:r>
        <w:t xml:space="preserve">2 - </w:t>
      </w:r>
      <w:r>
        <w:t>Os exames confirmados, ficam sob responsabilidade única do setor médico, excluir o doador temporariamente ou definitivamente, dependendo da doença, encaminhá-lo a um serviço de referência, se necessário. Será importante o envio da ficha de Investigação ao departamento médico para avaliação e, se possível conclusão do caso retornando ao setor que o remete, para posteriormente informar a Vigilância em Saúde (Vigilância Epidemiológica Municipal e Agência Nacional de Vigilância Sanitária);</w:t>
      </w:r>
      <w:r>
        <w:br/>
      </w:r>
      <w:r>
        <w:t xml:space="preserve">3 - </w:t>
      </w:r>
      <w:r>
        <w:t>O responsável pela Retrovigilância, ao notificar a Vigilância em Saúde, informará junto com as demais informações do doador se ele foi localizado ou não, repassando os dados que tem fornecido e quantas vezes foi feita a tentativa;</w:t>
      </w:r>
      <w:r>
        <w:t> </w:t>
      </w:r>
      <w:r>
        <w:br/>
      </w:r>
      <w:r>
        <w:t>4 -</w:t>
      </w:r>
      <w:r>
        <w:t xml:space="preserve"> O repasse de informações da Retrovigilância é realizado através do sistema NOTIVISA, utilizando login gov.br.</w:t>
      </w:r>
      <w:r>
        <w:t xml:space="preserve"> </w:t>
      </w:r>
      <w:r>
        <w:br/>
      </w:r>
      <w:r>
        <w:t xml:space="preserve">Tarefa 2: </w:t>
      </w:r>
      <w:r>
        <w:t>Finalizar a Retrovigilância após envio contatar a Vigilância em Saúde.</w:t>
      </w:r>
      <w:r>
        <w:br/>
      </w:r>
      <w:r>
        <w:br/>
      </w:r>
      <w:r>
        <w:t>Por que essa atividade acontece?</w:t>
      </w:r>
      <w:r>
        <w:br/>
      </w:r>
      <w:r>
        <w:t>Essa atividade acontece porque é necessário repasse das informações referente a Retrovigilância aos centros de especialidades (Vigilância Epidemiológica Municipal e Agência Nacional de Vigilância Sanitária).</w:t>
      </w:r>
    </w:p>
    <w:p>
      <w:pPr>
        <w:pStyle w:val="bizHeading2"/>
      </w:pPr>
      <w:bookmarkStart w:id="20" w:name="Id_2d31e9eadb0047e4b4b6eb3f184a4e8e"/>
      <w:bookmarkStart w:id="21" w:name="_Toc256000016"/>
      <w:r>
        <w:t>Hospital/Clínica</w:t>
      </w:r>
      <w:bookmarkEnd w:id="21"/>
    </w:p>
    <w:p>
      <w:pPr>
        <w:pStyle w:val="bizHeading3"/>
      </w:pPr>
      <w:bookmarkEnd w:id="20"/>
      <w:bookmarkStart w:id="22" w:name="_Toc256000017"/>
      <w:r>
        <w:t>Elementos do processo</w:t>
      </w:r>
      <w:bookmarkEnd w:id="22"/>
    </w:p>
    <w:p>
      <w:pPr>
        <w:pStyle w:val="bizHeading4"/>
      </w:pPr>
      <w:bookmarkStart w:id="23" w:name="_Toc256000018"/>
      <w:r>
        <w:drawing>
          <wp:inline>
            <wp:extent cx="152421" cy="152421"/>
            <wp:docPr id="94861415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8156171"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t>1. Receber notificação de Retrovigilância</w:t>
      </w:r>
      <w:bookmarkEnd w:id="23"/>
      <w:r>
        <w:t> </w:t>
      </w:r>
    </w:p>
    <w:p/>
    <w:p>
      <w:pPr>
        <w:pStyle w:val="BoldModelerNormal"/>
      </w:pPr>
      <w:r>
        <w:t>Descrição</w:t>
      </w:r>
    </w:p>
    <w:p>
      <w:pPr>
        <w:pStyle w:val="ModelerNormal"/>
        <w:spacing w:afterAutospacing="1"/>
      </w:pPr>
      <w:r>
        <w:t xml:space="preserve">O que: </w:t>
      </w:r>
      <w:r>
        <w:t>Receber notificação de Retrovigilância</w:t>
      </w:r>
      <w:r>
        <w:br/>
      </w:r>
      <w:r>
        <w:br/>
      </w:r>
      <w:r>
        <w:t xml:space="preserve">Onde: </w:t>
      </w:r>
      <w:r>
        <w:t>Sistema SIHRO</w:t>
      </w:r>
      <w:r>
        <w:br/>
      </w:r>
      <w:r>
        <w:br/>
      </w:r>
      <w:r>
        <w:t>Quando:</w:t>
      </w:r>
      <w:r>
        <w:br/>
      </w:r>
      <w:r>
        <w:br/>
      </w:r>
      <w:r>
        <w:t>Como</w:t>
      </w:r>
      <w:r>
        <w:br/>
      </w:r>
      <w:r>
        <w:t xml:space="preserve">Tarefa 1: </w:t>
      </w:r>
      <w:r>
        <w:t>Receber notificação de Retrovigilância;</w:t>
      </w:r>
    </w:p>
    <w:p>
      <w:pPr>
        <w:pStyle w:val="ModelerNormal"/>
        <w:spacing w:afterAutospacing="1"/>
      </w:pPr>
      <w:r>
        <w:t xml:space="preserve">Tarefa 2: </w:t>
      </w:r>
      <w:r>
        <w:t>Conferir informações recebidas através do sistema;</w:t>
      </w:r>
    </w:p>
    <w:p>
      <w:pPr>
        <w:pStyle w:val="ModelerNormal"/>
        <w:spacing w:afterAutospacing="1"/>
      </w:pPr>
      <w:r>
        <w:t xml:space="preserve">Observação: </w:t>
      </w:r>
      <w:r>
        <w:br/>
      </w:r>
      <w:r>
        <w:t xml:space="preserve">1- </w:t>
      </w:r>
      <w:r>
        <w:t>As informações recebidas são relacionadas a bolsa que foi transfundida pois doador atualmente soroconverteu, onde e necessário que o hospital tome providências cabíveis em relação ao receptor.</w:t>
      </w:r>
      <w:r>
        <w:br/>
      </w:r>
      <w:r>
        <w:t>Tarefa 3:</w:t>
      </w:r>
      <w:r>
        <w:t xml:space="preserve"> Dar aceite de que recebeu informações.</w:t>
      </w:r>
      <w:r>
        <w:br/>
      </w:r>
      <w:r>
        <w:br/>
      </w:r>
      <w:r>
        <w:t>Por que essa atividade acontece?</w:t>
      </w:r>
      <w:r>
        <w:br/>
      </w:r>
      <w:r>
        <w:t>Essa atividade acontece porque é necessário dar aceite nas informações recebidas referente a bolsa que foi distribuída para receptor e hospital solicitante.</w:t>
      </w:r>
    </w:p>
    <w:p>
      <w:pPr>
        <w:pStyle w:val="BoldModelerNormal"/>
      </w:pPr>
      <w:r>
        <w:t>Implementação</w:t>
      </w:r>
    </w:p>
    <w:p>
      <w:pPr>
        <w:pStyle w:val="ModelerNormal"/>
      </w:pPr>
      <w:r>
        <w:t>Serviço Web</w:t>
      </w:r>
    </w:p>
    <w:p/>
    <w:sectPr>
      <w:pgSz w:w="12240" w:h="15840"/>
      <w:pgMar w:top="1616" w:right="1701" w:bottom="1418" w:left="1701" w:header="708" w:footer="708"/>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Segoe UI Semilight">
    <w:panose1 w:val="020B0402040204020203"/>
    <w:charset w:val="00"/>
    <w:family w:val="swiss"/>
    <w:pitch w:val="variable"/>
    <w:sig w:usb0="E4002EFF" w:usb1="C000E47F" w:usb2="00000009" w:usb3="00000000" w:csb0="000001FF" w:csb1="00000000"/>
  </w:font>
  <w:font w:name="Humanst521 BT">
    <w:altName w:val="Tahoma"/>
    <w:panose1 w:val="00000000000000000000"/>
    <w:charset w:val="00"/>
    <w:family w:val="swiss"/>
    <w:pitch w:val="variable"/>
    <w:sig w:usb0="00000007" w:usb1="00000000" w:usb2="00000000" w:usb3="00000000" w:csb0="00000011" w:csb1="00000000"/>
  </w:font>
  <w:font w:name="Segoe UI">
    <w:panose1 w:val="020B0502040204020203"/>
    <w:charset w:val="00"/>
    <w:family w:val="swiss"/>
    <w:pitch w:val="variable"/>
    <w:sig w:usb0="E4002EFF" w:usb1="C000E47F"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03BE" w:rsidRPr="00AE3ACF" w:rsidP="00AE3ACF">
    <w:pPr>
      <w:pStyle w:val="Footer"/>
    </w:pPr>
    <w:r>
      <w:tab/>
    </w:r>
    <w:r>
      <w:fldChar w:fldCharType="begin"/>
    </w:r>
    <w:r>
      <w:instrText xml:space="preserve"> DATE   </w:instrText>
    </w:r>
    <w:r>
      <w:instrText>\@</w:instrText>
    </w:r>
    <w:r>
      <w:instrText xml:space="preserve"> </w:instrText>
    </w:r>
    <w:r>
      <w:instrText>dd/MM/yyyy</w:instrText>
    </w:r>
    <w:r>
      <w:instrText xml:space="preserve"> </w:instrText>
    </w:r>
    <w:r>
      <w:instrText>\*</w:instrText>
    </w:r>
    <w:r>
      <w:instrText xml:space="preserve"> </w:instrText>
    </w:r>
    <w:r>
      <w:instrText>MERGEFORMAT</w:instrText>
    </w:r>
    <w:r>
      <w:instrText xml:space="preserve"> </w:instrText>
    </w:r>
    <w:r>
      <w:fldChar w:fldCharType="separate"/>
    </w:r>
    <w:r w:rsidR="002D61C1">
      <w:rPr>
        <w:noProof/>
      </w:rPr>
      <w:t>07/06/2023</w:t>
    </w:r>
    <w:r>
      <w:fldChar w:fldCharType="end"/>
    </w:r>
    <w:r>
      <w:tab/>
    </w:r>
    <w:r w:rsidR="001572C1">
      <w:rPr>
        <w:rStyle w:val="PageNumber"/>
      </w:rPr>
      <w:fldChar w:fldCharType="begin"/>
    </w:r>
    <w:r w:rsidR="001572C1">
      <w:rPr>
        <w:rStyle w:val="PageNumber"/>
      </w:rPr>
      <w:instrText xml:space="preserve"> PAGE </w:instrText>
    </w:r>
    <w:r w:rsidR="001572C1">
      <w:rPr>
        <w:rStyle w:val="PageNumber"/>
      </w:rPr>
      <w:fldChar w:fldCharType="separate"/>
    </w:r>
    <w:r w:rsidR="001572C1">
      <w:rPr>
        <w:rStyle w:val="PageNumber"/>
      </w:rPr>
      <w:t>13</w:t>
    </w:r>
    <w:r w:rsidR="001572C1">
      <w:rPr>
        <w:rStyle w:val="PageNumber"/>
      </w:rP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03BE" w:rsidRPr="00B603BE">
    <w:pPr>
      <w:pStyle w:val="Header"/>
      <w:rPr>
        <w:lang w:val="es-ES"/>
      </w:rPr>
    </w:pPr>
    <w:r w:rsidRPr="00B603BE">
      <w:rPr>
        <w:rFonts w:ascii="Tahoma" w:hAnsi="Tahoma" w:cs="Tahoma"/>
        <w:b/>
        <w:color w:val="C0C0C0"/>
        <w:spacing w:val="140"/>
        <w:sz w:val="22"/>
        <w:szCs w:val="22"/>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0204B33A"/>
    <w:lvl w:ilvl="0">
      <w:start w:val="1"/>
      <w:numFmt w:val="decimal"/>
      <w:lvlText w:val="%1."/>
      <w:lvlJc w:val="left"/>
      <w:pPr>
        <w:tabs>
          <w:tab w:val="num" w:pos="720"/>
        </w:tabs>
        <w:ind w:left="720" w:hanging="360"/>
      </w:pPr>
    </w:lvl>
  </w:abstractNum>
  <w:abstractNum w:abstractNumId="1">
    <w:nsid w:val="01CF02BF"/>
    <w:multiLevelType w:val="hybridMultilevel"/>
    <w:tmpl w:val="906C130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bullet"/>
      <w:lvlText w:val=""/>
      <w:lvlJc w:val="left"/>
      <w:pPr>
        <w:tabs>
          <w:tab w:val="num" w:pos="2340"/>
        </w:tabs>
        <w:ind w:left="2340" w:hanging="360"/>
      </w:pPr>
      <w:rPr>
        <w:rFonts w:ascii="Symbol" w:hAnsi="Symbol" w:hint="default"/>
      </w:r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nsid w:val="02FC3410"/>
    <w:multiLevelType w:val="multilevel"/>
    <w:tmpl w:val="106A2688"/>
    <w:lvl w:ilvl="0">
      <w:start w:val="1"/>
      <w:numFmt w:val="none"/>
      <w:lvlText w:val="%1"/>
      <w:lvlJc w:val="left"/>
      <w:pPr>
        <w:tabs>
          <w:tab w:val="num" w:pos="0"/>
        </w:tabs>
        <w:ind w:left="0" w:firstLine="0"/>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4."/>
      <w:lvlJc w:val="left"/>
      <w:pPr>
        <w:tabs>
          <w:tab w:val="num" w:pos="340"/>
        </w:tabs>
        <w:ind w:left="340" w:firstLine="0"/>
      </w:pPr>
      <w:rPr>
        <w:rFonts w:hint="default"/>
        <w:b/>
        <w:i w:val="0"/>
        <w:sz w:val="20"/>
        <w:szCs w:val="20"/>
      </w:rPr>
    </w:lvl>
    <w:lvl w:ilvl="4">
      <w:start w:val="1"/>
      <w:numFmt w:val="lowerLetter"/>
      <w:lvlText w:val="%1%5."/>
      <w:lvlJc w:val="left"/>
      <w:pPr>
        <w:tabs>
          <w:tab w:val="num" w:pos="0"/>
        </w:tabs>
        <w:ind w:left="0" w:firstLine="567"/>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
    <w:nsid w:val="04D76C24"/>
    <w:multiLevelType w:val="hybridMultilevel"/>
    <w:tmpl w:val="C674034C"/>
    <w:lvl w:ilvl="0">
      <w:start w:val="1"/>
      <w:numFmt w:val="bullet"/>
      <w:lvlText w:val=""/>
      <w:lvlJc w:val="left"/>
      <w:pPr>
        <w:tabs>
          <w:tab w:val="num" w:pos="1800"/>
        </w:tabs>
        <w:ind w:left="1800" w:hanging="360"/>
      </w:pPr>
      <w:rPr>
        <w:rFonts w:ascii="Symbol" w:hAnsi="Symbol" w:hint="default"/>
        <w:color w:val="auto"/>
      </w:rPr>
    </w:lvl>
    <w:lvl w:ilvl="1">
      <w:start w:val="1"/>
      <w:numFmt w:val="bullet"/>
      <w:lvlText w:val="o"/>
      <w:lvlJc w:val="left"/>
      <w:pPr>
        <w:tabs>
          <w:tab w:val="num" w:pos="2340"/>
        </w:tabs>
        <w:ind w:left="2340" w:hanging="360"/>
      </w:pPr>
      <w:rPr>
        <w:rFonts w:ascii="Courier New" w:hAnsi="Courier New" w:cs="Courier New" w:hint="default"/>
      </w:rPr>
    </w:lvl>
    <w:lvl w:ilvl="2">
      <w:start w:val="1"/>
      <w:numFmt w:val="lowerLetter"/>
      <w:lvlText w:val="%3."/>
      <w:lvlJc w:val="left"/>
      <w:pPr>
        <w:tabs>
          <w:tab w:val="num" w:pos="3060"/>
        </w:tabs>
        <w:ind w:left="3060" w:hanging="360"/>
      </w:pPr>
      <w:rPr>
        <w:rFonts w:hint="default"/>
      </w:rPr>
    </w:lvl>
    <w:lvl w:ilvl="3">
      <w:start w:val="1"/>
      <w:numFmt w:val="bullet"/>
      <w:lvlText w:val=""/>
      <w:lvlJc w:val="left"/>
      <w:pPr>
        <w:tabs>
          <w:tab w:val="num" w:pos="3780"/>
        </w:tabs>
        <w:ind w:left="3780" w:hanging="360"/>
      </w:pPr>
      <w:rPr>
        <w:rFonts w:ascii="Symbol" w:hAnsi="Symbol" w:hint="default"/>
        <w:color w:val="auto"/>
      </w:rPr>
    </w:lvl>
    <w:lvl w:ilvl="4" w:tentative="1">
      <w:start w:val="1"/>
      <w:numFmt w:val="bullet"/>
      <w:lvlText w:val="o"/>
      <w:lvlJc w:val="left"/>
      <w:pPr>
        <w:tabs>
          <w:tab w:val="num" w:pos="4500"/>
        </w:tabs>
        <w:ind w:left="4500" w:hanging="360"/>
      </w:pPr>
      <w:rPr>
        <w:rFonts w:ascii="Courier New" w:hAnsi="Courier New" w:cs="Courier New" w:hint="default"/>
      </w:rPr>
    </w:lvl>
    <w:lvl w:ilvl="5" w:tentative="1">
      <w:start w:val="1"/>
      <w:numFmt w:val="bullet"/>
      <w:lvlText w:val=""/>
      <w:lvlJc w:val="left"/>
      <w:pPr>
        <w:tabs>
          <w:tab w:val="num" w:pos="5220"/>
        </w:tabs>
        <w:ind w:left="5220" w:hanging="360"/>
      </w:pPr>
      <w:rPr>
        <w:rFonts w:ascii="Wingdings" w:hAnsi="Wingdings" w:hint="default"/>
      </w:rPr>
    </w:lvl>
    <w:lvl w:ilvl="6" w:tentative="1">
      <w:start w:val="1"/>
      <w:numFmt w:val="bullet"/>
      <w:lvlText w:val=""/>
      <w:lvlJc w:val="left"/>
      <w:pPr>
        <w:tabs>
          <w:tab w:val="num" w:pos="5940"/>
        </w:tabs>
        <w:ind w:left="5940" w:hanging="360"/>
      </w:pPr>
      <w:rPr>
        <w:rFonts w:ascii="Symbol" w:hAnsi="Symbol" w:hint="default"/>
      </w:rPr>
    </w:lvl>
    <w:lvl w:ilvl="7" w:tentative="1">
      <w:start w:val="1"/>
      <w:numFmt w:val="bullet"/>
      <w:lvlText w:val="o"/>
      <w:lvlJc w:val="left"/>
      <w:pPr>
        <w:tabs>
          <w:tab w:val="num" w:pos="6660"/>
        </w:tabs>
        <w:ind w:left="6660" w:hanging="360"/>
      </w:pPr>
      <w:rPr>
        <w:rFonts w:ascii="Courier New" w:hAnsi="Courier New" w:cs="Courier New" w:hint="default"/>
      </w:rPr>
    </w:lvl>
    <w:lvl w:ilvl="8" w:tentative="1">
      <w:start w:val="1"/>
      <w:numFmt w:val="bullet"/>
      <w:lvlText w:val=""/>
      <w:lvlJc w:val="left"/>
      <w:pPr>
        <w:tabs>
          <w:tab w:val="num" w:pos="7380"/>
        </w:tabs>
        <w:ind w:left="7380" w:hanging="360"/>
      </w:pPr>
      <w:rPr>
        <w:rFonts w:ascii="Wingdings" w:hAnsi="Wingdings" w:hint="default"/>
      </w:rPr>
    </w:lvl>
  </w:abstractNum>
  <w:abstractNum w:abstractNumId="4">
    <w:nsid w:val="07F97F05"/>
    <w:multiLevelType w:val="hybridMultilevel"/>
    <w:tmpl w:val="C944C52E"/>
    <w:lvl w:ilvl="0">
      <w:start w:val="1"/>
      <w:numFmt w:val="lowerLetter"/>
      <w:lvlText w:val="%1."/>
      <w:lvlJc w:val="left"/>
      <w:pPr>
        <w:tabs>
          <w:tab w:val="num" w:pos="3060"/>
        </w:tabs>
        <w:ind w:left="3060" w:hanging="360"/>
      </w:pPr>
    </w:lvl>
    <w:lvl w:ilvl="1">
      <w:start w:val="7"/>
      <w:numFmt w:val="decimal"/>
      <w:lvlText w:val="%2."/>
      <w:lvlJc w:val="left"/>
      <w:pPr>
        <w:tabs>
          <w:tab w:val="num" w:pos="3780"/>
        </w:tabs>
        <w:ind w:left="3780" w:hanging="360"/>
      </w:pPr>
      <w:rPr>
        <w:rFonts w:hint="default"/>
      </w:rPr>
    </w:lvl>
    <w:lvl w:ilvl="2" w:tentative="1">
      <w:start w:val="1"/>
      <w:numFmt w:val="lowerRoman"/>
      <w:lvlText w:val="%3."/>
      <w:lvlJc w:val="right"/>
      <w:pPr>
        <w:tabs>
          <w:tab w:val="num" w:pos="4500"/>
        </w:tabs>
        <w:ind w:left="4500" w:hanging="180"/>
      </w:pPr>
    </w:lvl>
    <w:lvl w:ilvl="3" w:tentative="1">
      <w:start w:val="1"/>
      <w:numFmt w:val="decimal"/>
      <w:lvlText w:val="%4."/>
      <w:lvlJc w:val="left"/>
      <w:pPr>
        <w:tabs>
          <w:tab w:val="num" w:pos="5220"/>
        </w:tabs>
        <w:ind w:left="5220" w:hanging="360"/>
      </w:pPr>
    </w:lvl>
    <w:lvl w:ilvl="4" w:tentative="1">
      <w:start w:val="1"/>
      <w:numFmt w:val="lowerLetter"/>
      <w:lvlText w:val="%5."/>
      <w:lvlJc w:val="left"/>
      <w:pPr>
        <w:tabs>
          <w:tab w:val="num" w:pos="5940"/>
        </w:tabs>
        <w:ind w:left="5940" w:hanging="360"/>
      </w:pPr>
    </w:lvl>
    <w:lvl w:ilvl="5" w:tentative="1">
      <w:start w:val="1"/>
      <w:numFmt w:val="lowerRoman"/>
      <w:lvlText w:val="%6."/>
      <w:lvlJc w:val="right"/>
      <w:pPr>
        <w:tabs>
          <w:tab w:val="num" w:pos="6660"/>
        </w:tabs>
        <w:ind w:left="6660" w:hanging="180"/>
      </w:pPr>
    </w:lvl>
    <w:lvl w:ilvl="6" w:tentative="1">
      <w:start w:val="1"/>
      <w:numFmt w:val="decimal"/>
      <w:lvlText w:val="%7."/>
      <w:lvlJc w:val="left"/>
      <w:pPr>
        <w:tabs>
          <w:tab w:val="num" w:pos="7380"/>
        </w:tabs>
        <w:ind w:left="7380" w:hanging="360"/>
      </w:pPr>
    </w:lvl>
    <w:lvl w:ilvl="7" w:tentative="1">
      <w:start w:val="1"/>
      <w:numFmt w:val="lowerLetter"/>
      <w:lvlText w:val="%8."/>
      <w:lvlJc w:val="left"/>
      <w:pPr>
        <w:tabs>
          <w:tab w:val="num" w:pos="8100"/>
        </w:tabs>
        <w:ind w:left="8100" w:hanging="360"/>
      </w:pPr>
    </w:lvl>
    <w:lvl w:ilvl="8" w:tentative="1">
      <w:start w:val="1"/>
      <w:numFmt w:val="lowerRoman"/>
      <w:lvlText w:val="%9."/>
      <w:lvlJc w:val="right"/>
      <w:pPr>
        <w:tabs>
          <w:tab w:val="num" w:pos="8820"/>
        </w:tabs>
        <w:ind w:left="8820" w:hanging="180"/>
      </w:pPr>
    </w:lvl>
  </w:abstractNum>
  <w:abstractNum w:abstractNumId="5">
    <w:nsid w:val="0A13321D"/>
    <w:multiLevelType w:val="multilevel"/>
    <w:tmpl w:val="4B80F1B4"/>
    <w:lvl w:ilvl="0">
      <w:start w:val="1"/>
      <w:numFmt w:val="decimal"/>
      <w:pStyle w:val="Heading1"/>
      <w:lvlText w:val="%1"/>
      <w:lvlJc w:val="left"/>
      <w:pPr>
        <w:tabs>
          <w:tab w:val="num" w:pos="936"/>
        </w:tabs>
        <w:ind w:left="936" w:hanging="432"/>
      </w:pPr>
      <w:rPr>
        <w:rFonts w:hint="default"/>
      </w:rPr>
    </w:lvl>
    <w:lvl w:ilvl="1">
      <w:start w:val="1"/>
      <w:numFmt w:val="decimal"/>
      <w:pStyle w:val="Heading2"/>
      <w:lvlText w:val="%1.%2"/>
      <w:lvlJc w:val="left"/>
      <w:pPr>
        <w:tabs>
          <w:tab w:val="num" w:pos="1080"/>
        </w:tabs>
        <w:ind w:left="1080" w:hanging="576"/>
      </w:pPr>
      <w:rPr>
        <w:rFonts w:hint="default"/>
      </w:rPr>
    </w:lvl>
    <w:lvl w:ilvl="2">
      <w:start w:val="1"/>
      <w:numFmt w:val="decimal"/>
      <w:pStyle w:val="Heading3"/>
      <w:lvlText w:val="%1.%2.%3"/>
      <w:lvlJc w:val="left"/>
      <w:pPr>
        <w:tabs>
          <w:tab w:val="num" w:pos="1224"/>
        </w:tabs>
        <w:ind w:left="1224" w:hanging="720"/>
      </w:pPr>
      <w:rPr>
        <w:rFonts w:hint="default"/>
      </w:rPr>
    </w:lvl>
    <w:lvl w:ilvl="3">
      <w:start w:val="1"/>
      <w:numFmt w:val="decimal"/>
      <w:pStyle w:val="Heading4"/>
      <w:lvlText w:val="%1.%2.%3.%4"/>
      <w:lvlJc w:val="left"/>
      <w:pPr>
        <w:tabs>
          <w:tab w:val="num" w:pos="1368"/>
        </w:tabs>
        <w:ind w:left="1368" w:hanging="864"/>
      </w:pPr>
      <w:rPr>
        <w:rFonts w:hint="default"/>
        <w:b/>
        <w:i w:val="0"/>
        <w:sz w:val="20"/>
        <w:szCs w:val="20"/>
      </w:rPr>
    </w:lvl>
    <w:lvl w:ilvl="4">
      <w:start w:val="1"/>
      <w:numFmt w:val="decimal"/>
      <w:pStyle w:val="Heading5"/>
      <w:lvlText w:val="%1.%2.%3.%4.%5"/>
      <w:lvlJc w:val="left"/>
      <w:pPr>
        <w:tabs>
          <w:tab w:val="num" w:pos="1512"/>
        </w:tabs>
        <w:ind w:left="1512" w:hanging="1008"/>
      </w:pPr>
      <w:rPr>
        <w:rFonts w:hint="default"/>
      </w:rPr>
    </w:lvl>
    <w:lvl w:ilvl="5">
      <w:start w:val="1"/>
      <w:numFmt w:val="decimal"/>
      <w:pStyle w:val="Heading6"/>
      <w:lvlText w:val="%1.%2.%3.%4.%5.%6"/>
      <w:lvlJc w:val="left"/>
      <w:pPr>
        <w:tabs>
          <w:tab w:val="num" w:pos="1656"/>
        </w:tabs>
        <w:ind w:left="1656" w:hanging="1152"/>
      </w:pPr>
      <w:rPr>
        <w:rFonts w:hint="default"/>
      </w:rPr>
    </w:lvl>
    <w:lvl w:ilvl="6">
      <w:start w:val="1"/>
      <w:numFmt w:val="decimal"/>
      <w:pStyle w:val="Heading7"/>
      <w:lvlText w:val="%1.%2.%3.%4.%5.%6.%7"/>
      <w:lvlJc w:val="left"/>
      <w:pPr>
        <w:tabs>
          <w:tab w:val="num" w:pos="1800"/>
        </w:tabs>
        <w:ind w:left="1800" w:hanging="1296"/>
      </w:pPr>
      <w:rPr>
        <w:rFonts w:hint="default"/>
      </w:rPr>
    </w:lvl>
    <w:lvl w:ilvl="7">
      <w:start w:val="1"/>
      <w:numFmt w:val="decimal"/>
      <w:pStyle w:val="Heading8"/>
      <w:lvlText w:val="%1.%2.%3.%4.%5.%6.%7.%8"/>
      <w:lvlJc w:val="left"/>
      <w:pPr>
        <w:tabs>
          <w:tab w:val="num" w:pos="1944"/>
        </w:tabs>
        <w:ind w:left="1944" w:hanging="1440"/>
      </w:pPr>
      <w:rPr>
        <w:rFonts w:hint="default"/>
      </w:rPr>
    </w:lvl>
    <w:lvl w:ilvl="8">
      <w:start w:val="1"/>
      <w:numFmt w:val="decimal"/>
      <w:pStyle w:val="Heading9"/>
      <w:lvlText w:val="%1.%2.%3.%4.%5.%6.%7.%8.%9"/>
      <w:lvlJc w:val="left"/>
      <w:pPr>
        <w:tabs>
          <w:tab w:val="num" w:pos="2088"/>
        </w:tabs>
        <w:ind w:left="2088" w:hanging="1584"/>
      </w:pPr>
      <w:rPr>
        <w:rFonts w:hint="default"/>
      </w:rPr>
    </w:lvl>
  </w:abstractNum>
  <w:abstractNum w:abstractNumId="6">
    <w:nsid w:val="155B6D8B"/>
    <w:multiLevelType w:val="hybridMultilevel"/>
    <w:tmpl w:val="941C6E78"/>
    <w:lvl w:ilvl="0">
      <w:start w:val="1"/>
      <w:numFmt w:val="lowerLetter"/>
      <w:lvlText w:val="%1."/>
      <w:lvlJc w:val="left"/>
      <w:pPr>
        <w:tabs>
          <w:tab w:val="num" w:pos="1440"/>
        </w:tabs>
        <w:ind w:left="1440" w:hanging="360"/>
      </w:p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7">
    <w:nsid w:val="200F1019"/>
    <w:multiLevelType w:val="multilevel"/>
    <w:tmpl w:val="C60AF0EA"/>
    <w:lvl w:ilvl="0">
      <w:start w:val="1"/>
      <w:numFmt w:val="none"/>
      <w:lvlText w:val="%1"/>
      <w:lvlJc w:val="left"/>
      <w:pPr>
        <w:tabs>
          <w:tab w:val="num" w:pos="0"/>
        </w:tabs>
        <w:ind w:left="0" w:firstLine="0"/>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4."/>
      <w:lvlJc w:val="left"/>
      <w:pPr>
        <w:tabs>
          <w:tab w:val="num" w:pos="340"/>
        </w:tabs>
        <w:ind w:left="340" w:firstLine="0"/>
      </w:pPr>
      <w:rPr>
        <w:rFonts w:hint="default"/>
        <w:b/>
        <w:i w:val="0"/>
        <w:sz w:val="20"/>
        <w:szCs w:val="20"/>
      </w:rPr>
    </w:lvl>
    <w:lvl w:ilvl="4">
      <w:start w:val="1"/>
      <w:numFmt w:val="lowerLetter"/>
      <w:lvlText w:val="%1%5."/>
      <w:lvlJc w:val="left"/>
      <w:pPr>
        <w:tabs>
          <w:tab w:val="num" w:pos="567"/>
        </w:tabs>
        <w:ind w:left="0" w:firstLine="567"/>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8">
    <w:nsid w:val="29DE55A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2C6D106A"/>
    <w:multiLevelType w:val="hybridMultilevel"/>
    <w:tmpl w:val="93602E14"/>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1080"/>
        </w:tabs>
        <w:ind w:left="1080" w:hanging="360"/>
      </w:pPr>
      <w:rPr>
        <w:rFonts w:ascii="Symbol" w:hAnsi="Symbol" w:hint="default"/>
      </w:r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0">
    <w:nsid w:val="2CED462D"/>
    <w:multiLevelType w:val="multilevel"/>
    <w:tmpl w:val="106A2688"/>
    <w:lvl w:ilvl="0">
      <w:start w:val="1"/>
      <w:numFmt w:val="none"/>
      <w:lvlText w:val="%1"/>
      <w:lvlJc w:val="left"/>
      <w:pPr>
        <w:tabs>
          <w:tab w:val="num" w:pos="0"/>
        </w:tabs>
        <w:ind w:left="0" w:firstLine="0"/>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4."/>
      <w:lvlJc w:val="left"/>
      <w:pPr>
        <w:tabs>
          <w:tab w:val="num" w:pos="340"/>
        </w:tabs>
        <w:ind w:left="340" w:firstLine="0"/>
      </w:pPr>
      <w:rPr>
        <w:rFonts w:hint="default"/>
        <w:b/>
        <w:i w:val="0"/>
        <w:sz w:val="20"/>
        <w:szCs w:val="20"/>
      </w:rPr>
    </w:lvl>
    <w:lvl w:ilvl="4">
      <w:start w:val="1"/>
      <w:numFmt w:val="lowerLetter"/>
      <w:lvlText w:val="%1%5."/>
      <w:lvlJc w:val="left"/>
      <w:pPr>
        <w:tabs>
          <w:tab w:val="num" w:pos="0"/>
        </w:tabs>
        <w:ind w:left="0" w:firstLine="567"/>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2EC8694B"/>
    <w:multiLevelType w:val="multilevel"/>
    <w:tmpl w:val="B65EAAD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lowerLetter"/>
      <w:lvlText w:val="%3."/>
      <w:lvlJc w:val="left"/>
      <w:pPr>
        <w:tabs>
          <w:tab w:val="num" w:pos="1080"/>
        </w:tabs>
        <w:ind w:left="1080" w:hanging="360"/>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
    <w:nsid w:val="43B06977"/>
    <w:multiLevelType w:val="multilevel"/>
    <w:tmpl w:val="05B66266"/>
    <w:lvl w:ilvl="0">
      <w:start w:val="1"/>
      <w:numFmt w:val="none"/>
      <w:lvlText w:val="%1"/>
      <w:lvlJc w:val="left"/>
      <w:pPr>
        <w:tabs>
          <w:tab w:val="num" w:pos="0"/>
        </w:tabs>
        <w:ind w:left="0" w:firstLine="0"/>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4."/>
      <w:lvlJc w:val="left"/>
      <w:pPr>
        <w:tabs>
          <w:tab w:val="num" w:pos="340"/>
        </w:tabs>
        <w:ind w:left="340" w:firstLine="0"/>
      </w:pPr>
      <w:rPr>
        <w:rFonts w:hint="default"/>
        <w:b/>
        <w:i w:val="0"/>
        <w:sz w:val="20"/>
        <w:szCs w:val="20"/>
      </w:rPr>
    </w:lvl>
    <w:lvl w:ilvl="4">
      <w:start w:val="1"/>
      <w:numFmt w:val="lowerLetter"/>
      <w:lvlText w:val="%1%5."/>
      <w:lvlJc w:val="left"/>
      <w:pPr>
        <w:tabs>
          <w:tab w:val="num" w:pos="0"/>
        </w:tabs>
        <w:ind w:left="567" w:firstLine="0"/>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4ABD67D4"/>
    <w:multiLevelType w:val="hybridMultilevel"/>
    <w:tmpl w:val="3404D630"/>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4">
    <w:nsid w:val="50620D54"/>
    <w:multiLevelType w:val="hybridMultilevel"/>
    <w:tmpl w:val="14DEF298"/>
    <w:lvl w:ilvl="0">
      <w:start w:val="1"/>
      <w:numFmt w:val="lowerLetter"/>
      <w:lvlText w:val="%1."/>
      <w:lvlJc w:val="left"/>
      <w:pPr>
        <w:tabs>
          <w:tab w:val="num" w:pos="1080"/>
        </w:tabs>
        <w:ind w:left="1080" w:hanging="360"/>
      </w:p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5">
    <w:nsid w:val="515A21B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3BF00B8"/>
    <w:multiLevelType w:val="hybridMultilevel"/>
    <w:tmpl w:val="078A782A"/>
    <w:lvl w:ilvl="0">
      <w:start w:val="1"/>
      <w:numFmt w:val="decimal"/>
      <w:lvlText w:val="%1."/>
      <w:lvlJc w:val="left"/>
      <w:pPr>
        <w:tabs>
          <w:tab w:val="num" w:pos="720"/>
        </w:tabs>
        <w:ind w:left="720" w:hanging="360"/>
      </w:pPr>
    </w:lvl>
    <w:lvl w:ilvl="1">
      <w:start w:val="1"/>
      <w:numFmt w:val="lowerLetter"/>
      <w:lvlText w:val="%2."/>
      <w:lvlJc w:val="left"/>
      <w:pPr>
        <w:tabs>
          <w:tab w:val="num" w:pos="1065"/>
        </w:tabs>
        <w:ind w:left="1065" w:hanging="360"/>
      </w:pPr>
    </w:lvl>
    <w:lvl w:ilvl="2">
      <w:start w:val="0"/>
      <w:numFmt w:val="none"/>
      <w:lvlJc w:val="left"/>
      <w:pPr>
        <w:tabs>
          <w:tab w:val="num" w:pos="360"/>
        </w:tabs>
      </w:pPr>
    </w:lvl>
    <w:lvl w:ilvl="3">
      <w:start w:val="0"/>
      <w:numFmt w:val="none"/>
      <w:lvlJc w:val="left"/>
      <w:pPr>
        <w:tabs>
          <w:tab w:val="num" w:pos="360"/>
        </w:tabs>
      </w:pPr>
    </w:lvl>
    <w:lvl w:ilvl="4">
      <w:start w:val="0"/>
      <w:numFmt w:val="none"/>
      <w:lvlJc w:val="left"/>
      <w:pPr>
        <w:tabs>
          <w:tab w:val="num" w:pos="360"/>
        </w:tabs>
      </w:pPr>
    </w:lvl>
    <w:lvl w:ilvl="5">
      <w:start w:val="0"/>
      <w:numFmt w:val="none"/>
      <w:lvlJc w:val="left"/>
      <w:pPr>
        <w:tabs>
          <w:tab w:val="num" w:pos="360"/>
        </w:tabs>
      </w:pPr>
    </w:lvl>
    <w:lvl w:ilvl="6">
      <w:start w:val="0"/>
      <w:numFmt w:val="none"/>
      <w:lvlJc w:val="left"/>
      <w:pPr>
        <w:tabs>
          <w:tab w:val="num" w:pos="360"/>
        </w:tabs>
      </w:pPr>
    </w:lvl>
    <w:lvl w:ilvl="7">
      <w:start w:val="0"/>
      <w:numFmt w:val="none"/>
      <w:lvlJc w:val="left"/>
      <w:pPr>
        <w:tabs>
          <w:tab w:val="num" w:pos="360"/>
        </w:tabs>
      </w:pPr>
    </w:lvl>
    <w:lvl w:ilvl="8">
      <w:start w:val="0"/>
      <w:numFmt w:val="none"/>
      <w:lvlJc w:val="left"/>
      <w:pPr>
        <w:tabs>
          <w:tab w:val="num" w:pos="360"/>
        </w:tabs>
      </w:pPr>
    </w:lvl>
  </w:abstractNum>
  <w:abstractNum w:abstractNumId="17">
    <w:nsid w:val="56F82B40"/>
    <w:multiLevelType w:val="hybridMultilevel"/>
    <w:tmpl w:val="F4CE1682"/>
    <w:lvl w:ilvl="0">
      <w:start w:val="1"/>
      <w:numFmt w:val="lowerLetter"/>
      <w:lvlText w:val="%1."/>
      <w:lvlJc w:val="left"/>
      <w:pPr>
        <w:tabs>
          <w:tab w:val="num" w:pos="1080"/>
        </w:tabs>
        <w:ind w:left="1080" w:hanging="360"/>
      </w:p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8">
    <w:nsid w:val="5D0B4653"/>
    <w:multiLevelType w:val="multilevel"/>
    <w:tmpl w:val="BE369C94"/>
    <w:lvl w:ilvl="0">
      <w:start w:val="1"/>
      <w:numFmt w:val="none"/>
      <w:lvlJc w:val="left"/>
      <w:pPr>
        <w:tabs>
          <w:tab w:val="num" w:pos="0"/>
        </w:tabs>
        <w:ind w:left="0" w:firstLine="0"/>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4."/>
      <w:lvlJc w:val="left"/>
      <w:pPr>
        <w:tabs>
          <w:tab w:val="num" w:pos="340"/>
        </w:tabs>
        <w:ind w:left="680" w:hanging="340"/>
      </w:pPr>
      <w:rPr>
        <w:rFonts w:hint="default"/>
        <w:b/>
        <w:i w:val="0"/>
        <w:sz w:val="20"/>
        <w:szCs w:val="20"/>
      </w:rPr>
    </w:lvl>
    <w:lvl w:ilvl="4">
      <w:start w:val="1"/>
      <w:numFmt w:val="lowerLetter"/>
      <w:lvlText w:val="%1%5."/>
      <w:lvlJc w:val="left"/>
      <w:pPr>
        <w:tabs>
          <w:tab w:val="num" w:pos="0"/>
        </w:tabs>
        <w:ind w:left="567" w:firstLine="0"/>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5D734B9E"/>
    <w:multiLevelType w:val="hybridMultilevel"/>
    <w:tmpl w:val="EB9A0854"/>
    <w:lvl w:ilvl="0">
      <w:start w:val="1"/>
      <w:numFmt w:val="bullet"/>
      <w:lvlText w:val="•"/>
      <w:lvlJc w:val="left"/>
      <w:pPr>
        <w:tabs>
          <w:tab w:val="num" w:pos="720"/>
        </w:tabs>
        <w:ind w:left="720" w:hanging="360"/>
      </w:pPr>
      <w:rPr>
        <w:rFonts w:ascii="Verdana" w:hAnsi="Verdana" w:hint="default"/>
      </w:rPr>
    </w:lvl>
    <w:lvl w:ilvl="1">
      <w:start w:val="1"/>
      <w:numFmt w:val="bullet"/>
      <w:lvlText w:val=""/>
      <w:lvlJc w:val="left"/>
      <w:pPr>
        <w:tabs>
          <w:tab w:val="num" w:pos="1440"/>
        </w:tabs>
        <w:ind w:left="1440" w:hanging="360"/>
      </w:pPr>
      <w:rPr>
        <w:rFonts w:ascii="Symbol" w:hAnsi="Symbol" w:hint="default"/>
      </w:rPr>
    </w:lvl>
    <w:lvl w:ilvl="2" w:tentative="1">
      <w:start w:val="1"/>
      <w:numFmt w:val="bullet"/>
      <w:lvlText w:val="•"/>
      <w:lvlJc w:val="left"/>
      <w:pPr>
        <w:tabs>
          <w:tab w:val="num" w:pos="2160"/>
        </w:tabs>
        <w:ind w:left="2160" w:hanging="360"/>
      </w:pPr>
      <w:rPr>
        <w:rFonts w:ascii="Verdana" w:hAnsi="Verdana" w:hint="default"/>
      </w:rPr>
    </w:lvl>
    <w:lvl w:ilvl="3" w:tentative="1">
      <w:start w:val="1"/>
      <w:numFmt w:val="bullet"/>
      <w:lvlText w:val="•"/>
      <w:lvlJc w:val="left"/>
      <w:pPr>
        <w:tabs>
          <w:tab w:val="num" w:pos="2880"/>
        </w:tabs>
        <w:ind w:left="2880" w:hanging="360"/>
      </w:pPr>
      <w:rPr>
        <w:rFonts w:ascii="Verdana" w:hAnsi="Verdana" w:hint="default"/>
      </w:rPr>
    </w:lvl>
    <w:lvl w:ilvl="4" w:tentative="1">
      <w:start w:val="1"/>
      <w:numFmt w:val="bullet"/>
      <w:lvlText w:val="•"/>
      <w:lvlJc w:val="left"/>
      <w:pPr>
        <w:tabs>
          <w:tab w:val="num" w:pos="3600"/>
        </w:tabs>
        <w:ind w:left="3600" w:hanging="360"/>
      </w:pPr>
      <w:rPr>
        <w:rFonts w:ascii="Verdana" w:hAnsi="Verdana" w:hint="default"/>
      </w:rPr>
    </w:lvl>
    <w:lvl w:ilvl="5" w:tentative="1">
      <w:start w:val="1"/>
      <w:numFmt w:val="bullet"/>
      <w:lvlText w:val="•"/>
      <w:lvlJc w:val="left"/>
      <w:pPr>
        <w:tabs>
          <w:tab w:val="num" w:pos="4320"/>
        </w:tabs>
        <w:ind w:left="4320" w:hanging="360"/>
      </w:pPr>
      <w:rPr>
        <w:rFonts w:ascii="Verdana" w:hAnsi="Verdana" w:hint="default"/>
      </w:rPr>
    </w:lvl>
    <w:lvl w:ilvl="6" w:tentative="1">
      <w:start w:val="1"/>
      <w:numFmt w:val="bullet"/>
      <w:lvlText w:val="•"/>
      <w:lvlJc w:val="left"/>
      <w:pPr>
        <w:tabs>
          <w:tab w:val="num" w:pos="5040"/>
        </w:tabs>
        <w:ind w:left="5040" w:hanging="360"/>
      </w:pPr>
      <w:rPr>
        <w:rFonts w:ascii="Verdana" w:hAnsi="Verdana" w:hint="default"/>
      </w:rPr>
    </w:lvl>
    <w:lvl w:ilvl="7" w:tentative="1">
      <w:start w:val="1"/>
      <w:numFmt w:val="bullet"/>
      <w:lvlText w:val="•"/>
      <w:lvlJc w:val="left"/>
      <w:pPr>
        <w:tabs>
          <w:tab w:val="num" w:pos="5760"/>
        </w:tabs>
        <w:ind w:left="5760" w:hanging="360"/>
      </w:pPr>
      <w:rPr>
        <w:rFonts w:ascii="Verdana" w:hAnsi="Verdana" w:hint="default"/>
      </w:rPr>
    </w:lvl>
    <w:lvl w:ilvl="8" w:tentative="1">
      <w:start w:val="1"/>
      <w:numFmt w:val="bullet"/>
      <w:lvlText w:val="•"/>
      <w:lvlJc w:val="left"/>
      <w:pPr>
        <w:tabs>
          <w:tab w:val="num" w:pos="6480"/>
        </w:tabs>
        <w:ind w:left="6480" w:hanging="360"/>
      </w:pPr>
      <w:rPr>
        <w:rFonts w:ascii="Verdana" w:hAnsi="Verdana" w:hint="default"/>
      </w:rPr>
    </w:lvl>
  </w:abstractNum>
  <w:abstractNum w:abstractNumId="20">
    <w:nsid w:val="5FB85FC1"/>
    <w:multiLevelType w:val="hybridMultilevel"/>
    <w:tmpl w:val="D430BEC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
    <w:nsid w:val="649C7C3A"/>
    <w:multiLevelType w:val="hybridMultilevel"/>
    <w:tmpl w:val="49EA1772"/>
    <w:lvl w:ilvl="0">
      <w:start w:val="1"/>
      <w:numFmt w:val="lowerLetter"/>
      <w:lvlText w:val="%1."/>
      <w:lvlJc w:val="left"/>
      <w:pPr>
        <w:tabs>
          <w:tab w:val="num" w:pos="1080"/>
        </w:tabs>
        <w:ind w:left="1080" w:hanging="360"/>
      </w:pPr>
    </w:lvl>
    <w:lvl w:ilvl="1">
      <w:start w:val="1"/>
      <w:numFmt w:val="decimal"/>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22">
    <w:nsid w:val="69604AF8"/>
    <w:multiLevelType w:val="hybridMultilevel"/>
    <w:tmpl w:val="46F2321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3">
    <w:nsid w:val="6A0E58DD"/>
    <w:multiLevelType w:val="hybridMultilevel"/>
    <w:tmpl w:val="FE7449E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4">
    <w:nsid w:val="6A411E3C"/>
    <w:multiLevelType w:val="multilevel"/>
    <w:tmpl w:val="0F742404"/>
    <w:styleLink w:val="Lista"/>
    <w:lvl w:ilvl="0">
      <w:start w:val="1"/>
      <w:numFmt w:val="bullet"/>
      <w:lvlText w:val=""/>
      <w:lvlJc w:val="left"/>
      <w:pPr>
        <w:tabs>
          <w:tab w:val="num" w:pos="1080"/>
        </w:tabs>
        <w:ind w:left="1080" w:hanging="360"/>
      </w:pPr>
      <w:rPr>
        <w:rFonts w:ascii="Symbol" w:hAnsi="Symbol"/>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25">
    <w:nsid w:val="6BAF63F9"/>
    <w:multiLevelType w:val="hybridMultilevel"/>
    <w:tmpl w:val="0BAADF2C"/>
    <w:lvl w:ilvl="0">
      <w:start w:val="1"/>
      <w:numFmt w:val="decimal"/>
      <w:pStyle w:val="bizHeadingBAS1"/>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6">
    <w:nsid w:val="703D2C01"/>
    <w:multiLevelType w:val="multilevel"/>
    <w:tmpl w:val="F6DAA090"/>
    <w:lvl w:ilvl="0">
      <w:start w:val="1"/>
      <w:numFmt w:val="none"/>
      <w:lvlText w:val="%1"/>
      <w:lvlJc w:val="left"/>
      <w:pPr>
        <w:tabs>
          <w:tab w:val="num" w:pos="0"/>
        </w:tabs>
        <w:ind w:left="0" w:firstLine="0"/>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4."/>
      <w:lvlJc w:val="left"/>
      <w:pPr>
        <w:tabs>
          <w:tab w:val="num" w:pos="340"/>
        </w:tabs>
        <w:ind w:left="340" w:firstLine="0"/>
      </w:pPr>
      <w:rPr>
        <w:rFonts w:hint="default"/>
        <w:b/>
        <w:i w:val="0"/>
        <w:sz w:val="20"/>
        <w:szCs w:val="20"/>
      </w:rPr>
    </w:lvl>
    <w:lvl w:ilvl="4">
      <w:start w:val="1"/>
      <w:numFmt w:val="lowerLetter"/>
      <w:lvlText w:val="%1%5."/>
      <w:lvlJc w:val="left"/>
      <w:pPr>
        <w:tabs>
          <w:tab w:val="num" w:pos="567"/>
        </w:tabs>
        <w:ind w:left="567" w:firstLine="0"/>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7">
    <w:nsid w:val="720458A5"/>
    <w:multiLevelType w:val="multilevel"/>
    <w:tmpl w:val="D2F211A6"/>
    <w:lvl w:ilvl="0">
      <w:start w:val="1"/>
      <w:numFmt w:val="decimal"/>
      <w:lvlText w:val="PARTE %1 - "/>
      <w:lvlJc w:val="left"/>
      <w:pPr>
        <w:tabs>
          <w:tab w:val="num" w:pos="0"/>
        </w:tabs>
        <w:ind w:left="0" w:firstLine="0"/>
      </w:pPr>
      <w:rPr>
        <w:rFonts w:hint="default"/>
      </w:rPr>
    </w:lvl>
    <w:lvl w:ilvl="1">
      <w:start w:val="1"/>
      <w:numFmt w:val="decimal"/>
      <w:lvlText w:val="%2."/>
      <w:lvlJc w:val="left"/>
      <w:pPr>
        <w:tabs>
          <w:tab w:val="num" w:pos="576"/>
        </w:tabs>
        <w:ind w:left="576" w:hanging="576"/>
      </w:pPr>
      <w:rPr>
        <w:rFonts w:hint="default"/>
      </w:rPr>
    </w:lvl>
    <w:lvl w:ilvl="2">
      <w:start w:val="1"/>
      <w:numFmt w:val="decimal"/>
      <w:lvlText w:val="%2.%3"/>
      <w:lvlJc w:val="left"/>
      <w:pPr>
        <w:tabs>
          <w:tab w:val="num" w:pos="720"/>
        </w:tabs>
        <w:ind w:left="720" w:hanging="720"/>
      </w:pPr>
      <w:rPr>
        <w:rFonts w:hint="default"/>
      </w:rPr>
    </w:lvl>
    <w:lvl w:ilvl="3">
      <w:start w:val="1"/>
      <w:numFmt w:val="decimal"/>
      <w:lvlText w:val="%4."/>
      <w:lvlJc w:val="left"/>
      <w:pPr>
        <w:tabs>
          <w:tab w:val="num" w:pos="340"/>
        </w:tabs>
        <w:ind w:left="680" w:hanging="340"/>
      </w:pPr>
      <w:rPr>
        <w:rFonts w:hint="default"/>
        <w:b/>
        <w:i w:val="0"/>
        <w:sz w:val="20"/>
        <w:szCs w:val="20"/>
      </w:rPr>
    </w:lvl>
    <w:lvl w:ilvl="4">
      <w:start w:val="1"/>
      <w:numFmt w:val="decimal"/>
      <w:lvlText w:val="%5."/>
      <w:lvlJc w:val="left"/>
      <w:pPr>
        <w:tabs>
          <w:tab w:val="num" w:pos="0"/>
        </w:tabs>
        <w:ind w:left="567" w:firstLine="0"/>
      </w:pPr>
      <w:rPr>
        <w:rFonts w:hint="default"/>
      </w:rPr>
    </w:lvl>
    <w:lvl w:ilvl="5">
      <w:start w:val="1"/>
      <w:numFmt w:val="bullet"/>
      <w:lvlText w:val=""/>
      <w:lvlJc w:val="left"/>
      <w:pPr>
        <w:tabs>
          <w:tab w:val="num" w:pos="1008"/>
        </w:tabs>
        <w:ind w:left="1008" w:firstLine="0"/>
      </w:pPr>
      <w:rPr>
        <w:rFonts w:ascii="Symbol" w:hAnsi="Symbol"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72C24349"/>
    <w:multiLevelType w:val="hybridMultilevel"/>
    <w:tmpl w:val="3DBE061E"/>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9">
    <w:nsid w:val="749C6144"/>
    <w:multiLevelType w:val="hybridMultilevel"/>
    <w:tmpl w:val="503C8282"/>
    <w:lvl w:ilvl="0">
      <w:start w:val="1"/>
      <w:numFmt w:val="lowerLetter"/>
      <w:lvlText w:val="%1."/>
      <w:lvlJc w:val="left"/>
      <w:pPr>
        <w:tabs>
          <w:tab w:val="num" w:pos="1440"/>
        </w:tabs>
        <w:ind w:left="1440" w:hanging="360"/>
      </w:p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30">
    <w:nsid w:val="76975671"/>
    <w:multiLevelType w:val="hybridMultilevel"/>
    <w:tmpl w:val="07BAB2B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340"/>
        </w:tabs>
        <w:ind w:left="2340" w:hanging="36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1">
    <w:nsid w:val="769E547F"/>
    <w:multiLevelType w:val="hybridMultilevel"/>
    <w:tmpl w:val="C7EAF0B2"/>
    <w:lvl w:ilvl="0">
      <w:start w:val="1"/>
      <w:numFmt w:val="decimal"/>
      <w:lvlText w:val="%1."/>
      <w:lvlJc w:val="left"/>
      <w:pPr>
        <w:tabs>
          <w:tab w:val="num" w:pos="2340"/>
        </w:tabs>
        <w:ind w:left="2340" w:hanging="360"/>
      </w:pPr>
    </w:lvl>
    <w:lvl w:ilvl="1">
      <w:start w:val="1"/>
      <w:numFmt w:val="lowerLetter"/>
      <w:lvlText w:val="%2."/>
      <w:lvlJc w:val="left"/>
      <w:pPr>
        <w:tabs>
          <w:tab w:val="num" w:pos="3060"/>
        </w:tabs>
        <w:ind w:left="3060" w:hanging="360"/>
      </w:pPr>
    </w:lvl>
    <w:lvl w:ilvl="2" w:tentative="1">
      <w:start w:val="1"/>
      <w:numFmt w:val="lowerRoman"/>
      <w:lvlText w:val="%3."/>
      <w:lvlJc w:val="right"/>
      <w:pPr>
        <w:tabs>
          <w:tab w:val="num" w:pos="3780"/>
        </w:tabs>
        <w:ind w:left="3780" w:hanging="180"/>
      </w:pPr>
    </w:lvl>
    <w:lvl w:ilvl="3" w:tentative="1">
      <w:start w:val="1"/>
      <w:numFmt w:val="decimal"/>
      <w:lvlText w:val="%4."/>
      <w:lvlJc w:val="left"/>
      <w:pPr>
        <w:tabs>
          <w:tab w:val="num" w:pos="4500"/>
        </w:tabs>
        <w:ind w:left="4500" w:hanging="360"/>
      </w:pPr>
    </w:lvl>
    <w:lvl w:ilvl="4" w:tentative="1">
      <w:start w:val="1"/>
      <w:numFmt w:val="lowerLetter"/>
      <w:lvlText w:val="%5."/>
      <w:lvlJc w:val="left"/>
      <w:pPr>
        <w:tabs>
          <w:tab w:val="num" w:pos="5220"/>
        </w:tabs>
        <w:ind w:left="5220" w:hanging="360"/>
      </w:pPr>
    </w:lvl>
    <w:lvl w:ilvl="5" w:tentative="1">
      <w:start w:val="1"/>
      <w:numFmt w:val="lowerRoman"/>
      <w:lvlText w:val="%6."/>
      <w:lvlJc w:val="right"/>
      <w:pPr>
        <w:tabs>
          <w:tab w:val="num" w:pos="5940"/>
        </w:tabs>
        <w:ind w:left="5940" w:hanging="180"/>
      </w:pPr>
    </w:lvl>
    <w:lvl w:ilvl="6" w:tentative="1">
      <w:start w:val="1"/>
      <w:numFmt w:val="decimal"/>
      <w:lvlText w:val="%7."/>
      <w:lvlJc w:val="left"/>
      <w:pPr>
        <w:tabs>
          <w:tab w:val="num" w:pos="6660"/>
        </w:tabs>
        <w:ind w:left="6660" w:hanging="360"/>
      </w:pPr>
    </w:lvl>
    <w:lvl w:ilvl="7" w:tentative="1">
      <w:start w:val="1"/>
      <w:numFmt w:val="lowerLetter"/>
      <w:lvlText w:val="%8."/>
      <w:lvlJc w:val="left"/>
      <w:pPr>
        <w:tabs>
          <w:tab w:val="num" w:pos="7380"/>
        </w:tabs>
        <w:ind w:left="7380" w:hanging="360"/>
      </w:pPr>
    </w:lvl>
    <w:lvl w:ilvl="8" w:tentative="1">
      <w:start w:val="1"/>
      <w:numFmt w:val="lowerRoman"/>
      <w:lvlText w:val="%9."/>
      <w:lvlJc w:val="right"/>
      <w:pPr>
        <w:tabs>
          <w:tab w:val="num" w:pos="8100"/>
        </w:tabs>
        <w:ind w:left="8100" w:hanging="180"/>
      </w:pPr>
    </w:lvl>
  </w:abstractNum>
  <w:abstractNum w:abstractNumId="32">
    <w:nsid w:val="78076813"/>
    <w:multiLevelType w:val="multilevel"/>
    <w:tmpl w:val="F7D09B92"/>
    <w:lvl w:ilvl="0">
      <w:start w:val="1"/>
      <w:numFmt w:val="none"/>
      <w:lvlText w:val="%1"/>
      <w:lvlJc w:val="left"/>
      <w:pPr>
        <w:tabs>
          <w:tab w:val="num" w:pos="0"/>
        </w:tabs>
        <w:ind w:left="0" w:firstLine="0"/>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4."/>
      <w:lvlJc w:val="left"/>
      <w:pPr>
        <w:tabs>
          <w:tab w:val="num" w:pos="340"/>
        </w:tabs>
        <w:ind w:left="340" w:firstLine="0"/>
      </w:pPr>
      <w:rPr>
        <w:rFonts w:hint="default"/>
        <w:b/>
        <w:i w:val="0"/>
        <w:sz w:val="20"/>
        <w:szCs w:val="20"/>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783861BA"/>
    <w:multiLevelType w:val="hybridMultilevel"/>
    <w:tmpl w:val="78ACCB1A"/>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700"/>
        </w:tabs>
        <w:ind w:left="2700" w:hanging="72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4">
    <w:nsid w:val="790C1712"/>
    <w:multiLevelType w:val="multilevel"/>
    <w:tmpl w:val="02C0E5D2"/>
    <w:lvl w:ilvl="0">
      <w:start w:val="1"/>
      <w:numFmt w:val="none"/>
      <w:lvlText w:val="%1"/>
      <w:lvlJc w:val="left"/>
      <w:pPr>
        <w:tabs>
          <w:tab w:val="num" w:pos="0"/>
        </w:tabs>
        <w:ind w:left="0" w:firstLine="0"/>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4."/>
      <w:lvlJc w:val="left"/>
      <w:pPr>
        <w:tabs>
          <w:tab w:val="num" w:pos="340"/>
        </w:tabs>
        <w:ind w:left="340" w:firstLine="0"/>
      </w:pPr>
      <w:rPr>
        <w:rFonts w:hint="default"/>
        <w:b/>
        <w:i w:val="0"/>
        <w:sz w:val="20"/>
        <w:szCs w:val="20"/>
      </w:rPr>
    </w:lvl>
    <w:lvl w:ilvl="4">
      <w:start w:val="1"/>
      <w:numFmt w:val="lowerLetter"/>
      <w:lvlText w:val="%1%5."/>
      <w:lvlJc w:val="left"/>
      <w:pPr>
        <w:tabs>
          <w:tab w:val="num" w:pos="0"/>
        </w:tabs>
        <w:ind w:left="567" w:firstLine="0"/>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7B4D7EFE"/>
    <w:multiLevelType w:val="hybridMultilevel"/>
    <w:tmpl w:val="48C642F4"/>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6">
    <w:nsid w:val="7D5458C9"/>
    <w:multiLevelType w:val="multilevel"/>
    <w:tmpl w:val="5A38882A"/>
    <w:lvl w:ilvl="0">
      <w:start w:val="1"/>
      <w:numFmt w:val="decimal"/>
      <w:suff w:val="nothing"/>
      <w:lvlText w:val=" %1 - "/>
      <w:lvlJc w:val="left"/>
      <w:pPr>
        <w:ind w:left="0" w:firstLine="0"/>
      </w:pPr>
      <w:rPr>
        <w:rFonts w:hint="default"/>
      </w:rPr>
    </w:lvl>
    <w:lvl w:ilvl="1">
      <w:start w:val="1"/>
      <w:numFmt w:val="decimal"/>
      <w:lvlText w:val="%1.%2"/>
      <w:lvlJc w:val="left"/>
      <w:pPr>
        <w:tabs>
          <w:tab w:val="num" w:pos="1008"/>
        </w:tabs>
        <w:ind w:left="1008" w:hanging="1008"/>
      </w:pPr>
      <w:rPr>
        <w:rFonts w:hint="default"/>
      </w:rPr>
    </w:lvl>
    <w:lvl w:ilvl="2">
      <w:start w:val="1"/>
      <w:numFmt w:val="decimal"/>
      <w:lvlText w:val="%1.%2.%3"/>
      <w:lvlJc w:val="left"/>
      <w:pPr>
        <w:tabs>
          <w:tab w:val="num" w:pos="1008"/>
        </w:tabs>
        <w:ind w:left="1008" w:hanging="1008"/>
      </w:pPr>
      <w:rPr>
        <w:rFonts w:hint="default"/>
      </w:rPr>
    </w:lvl>
    <w:lvl w:ilvl="3">
      <w:start w:val="1"/>
      <w:numFmt w:val="decimal"/>
      <w:lvlText w:val="%4."/>
      <w:lvlJc w:val="left"/>
      <w:pPr>
        <w:tabs>
          <w:tab w:val="num" w:pos="1008"/>
        </w:tabs>
        <w:ind w:left="648" w:hanging="144"/>
      </w:pPr>
      <w:rPr>
        <w:rFonts w:hint="default"/>
        <w:b/>
        <w:i w:val="0"/>
        <w:sz w:val="20"/>
        <w:szCs w:val="20"/>
      </w:rPr>
    </w:lvl>
    <w:lvl w:ilvl="4">
      <w:start w:val="1"/>
      <w:numFmt w:val="decimal"/>
      <w:lvlText w:val="%5."/>
      <w:lvlJc w:val="left"/>
      <w:pPr>
        <w:tabs>
          <w:tab w:val="num" w:pos="1368"/>
        </w:tabs>
        <w:ind w:left="1080" w:firstLine="0"/>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9"/>
  </w:num>
  <w:num w:numId="2">
    <w:abstractNumId w:val="28"/>
  </w:num>
  <w:num w:numId="3">
    <w:abstractNumId w:val="23"/>
  </w:num>
  <w:num w:numId="4">
    <w:abstractNumId w:val="1"/>
  </w:num>
  <w:num w:numId="5">
    <w:abstractNumId w:val="16"/>
  </w:num>
  <w:num w:numId="6">
    <w:abstractNumId w:val="20"/>
  </w:num>
  <w:num w:numId="7">
    <w:abstractNumId w:val="22"/>
  </w:num>
  <w:num w:numId="8">
    <w:abstractNumId w:val="13"/>
  </w:num>
  <w:num w:numId="9">
    <w:abstractNumId w:val="3"/>
  </w:num>
  <w:num w:numId="10">
    <w:abstractNumId w:val="31"/>
  </w:num>
  <w:num w:numId="11">
    <w:abstractNumId w:val="9"/>
  </w:num>
  <w:num w:numId="12">
    <w:abstractNumId w:val="30"/>
  </w:num>
  <w:num w:numId="13">
    <w:abstractNumId w:val="6"/>
  </w:num>
  <w:num w:numId="14">
    <w:abstractNumId w:val="21"/>
  </w:num>
  <w:num w:numId="15">
    <w:abstractNumId w:val="4"/>
  </w:num>
  <w:num w:numId="16">
    <w:abstractNumId w:val="11"/>
  </w:num>
  <w:num w:numId="17">
    <w:abstractNumId w:val="17"/>
  </w:num>
  <w:num w:numId="18">
    <w:abstractNumId w:val="14"/>
  </w:num>
  <w:num w:numId="19">
    <w:abstractNumId w:val="29"/>
  </w:num>
  <w:num w:numId="20">
    <w:abstractNumId w:val="35"/>
  </w:num>
  <w:num w:numId="21">
    <w:abstractNumId w:val="33"/>
  </w:num>
  <w:num w:numId="22">
    <w:abstractNumId w:val="18"/>
  </w:num>
  <w:num w:numId="23">
    <w:abstractNumId w:val="32"/>
  </w:num>
  <w:num w:numId="24">
    <w:abstractNumId w:val="26"/>
  </w:num>
  <w:num w:numId="25">
    <w:abstractNumId w:val="7"/>
  </w:num>
  <w:num w:numId="26">
    <w:abstractNumId w:val="12"/>
  </w:num>
  <w:num w:numId="27">
    <w:abstractNumId w:val="2"/>
  </w:num>
  <w:num w:numId="28">
    <w:abstractNumId w:val="10"/>
  </w:num>
  <w:num w:numId="29">
    <w:abstractNumId w:val="34"/>
  </w:num>
  <w:num w:numId="30">
    <w:abstractNumId w:val="18"/>
  </w:num>
  <w:num w:numId="31">
    <w:abstractNumId w:val="18"/>
  </w:num>
  <w:num w:numId="32">
    <w:abstractNumId w:val="18"/>
  </w:num>
  <w:num w:numId="33">
    <w:abstractNumId w:val="5"/>
  </w:num>
  <w:num w:numId="34">
    <w:abstractNumId w:val="8"/>
  </w:num>
  <w:num w:numId="35">
    <w:abstractNumId w:val="5"/>
  </w:num>
  <w:num w:numId="36">
    <w:abstractNumId w:val="5"/>
  </w:num>
  <w:num w:numId="37">
    <w:abstractNumId w:val="24"/>
  </w:num>
  <w:num w:numId="38">
    <w:abstractNumId w:val="5"/>
  </w:num>
  <w:num w:numId="39">
    <w:abstractNumId w:val="5"/>
  </w:num>
  <w:num w:numId="40">
    <w:abstractNumId w:val="5"/>
  </w:num>
  <w:num w:numId="41">
    <w:abstractNumId w:val="5"/>
  </w:num>
  <w:num w:numId="42">
    <w:abstractNumId w:val="27"/>
  </w:num>
  <w:num w:numId="43">
    <w:abstractNumId w:val="15"/>
  </w:num>
  <w:num w:numId="44">
    <w:abstractNumId w:val="5"/>
  </w:num>
  <w:num w:numId="45">
    <w:abstractNumId w:val="36"/>
  </w:num>
  <w:num w:numId="46">
    <w:abstractNumId w:val="25"/>
  </w:num>
  <w:num w:numId="4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stylePaneFormatFilter w:val="3F01"/>
  <w:doNotTrackMoves/>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D61C1"/>
    <w:rsid w:val="000007FB"/>
    <w:rsid w:val="00000F1B"/>
    <w:rsid w:val="00003A15"/>
    <w:rsid w:val="00003D77"/>
    <w:rsid w:val="000074F6"/>
    <w:rsid w:val="00007736"/>
    <w:rsid w:val="00012BBE"/>
    <w:rsid w:val="00014F7C"/>
    <w:rsid w:val="00015341"/>
    <w:rsid w:val="00015ACC"/>
    <w:rsid w:val="00021707"/>
    <w:rsid w:val="00025BD9"/>
    <w:rsid w:val="0003100E"/>
    <w:rsid w:val="000400C4"/>
    <w:rsid w:val="00045378"/>
    <w:rsid w:val="000606FF"/>
    <w:rsid w:val="00062727"/>
    <w:rsid w:val="00064038"/>
    <w:rsid w:val="00071488"/>
    <w:rsid w:val="000734DA"/>
    <w:rsid w:val="00074D42"/>
    <w:rsid w:val="00074E36"/>
    <w:rsid w:val="000774A1"/>
    <w:rsid w:val="00084110"/>
    <w:rsid w:val="00086D30"/>
    <w:rsid w:val="0008735C"/>
    <w:rsid w:val="00091358"/>
    <w:rsid w:val="000961EB"/>
    <w:rsid w:val="00097384"/>
    <w:rsid w:val="000B26D6"/>
    <w:rsid w:val="000B2900"/>
    <w:rsid w:val="000B4982"/>
    <w:rsid w:val="000B5018"/>
    <w:rsid w:val="000D0F74"/>
    <w:rsid w:val="000D2ECA"/>
    <w:rsid w:val="000D74E2"/>
    <w:rsid w:val="000E1245"/>
    <w:rsid w:val="000E1F68"/>
    <w:rsid w:val="000E2E00"/>
    <w:rsid w:val="000E4853"/>
    <w:rsid w:val="000E4AD1"/>
    <w:rsid w:val="000F0F39"/>
    <w:rsid w:val="000F3713"/>
    <w:rsid w:val="000F5064"/>
    <w:rsid w:val="000F5CBC"/>
    <w:rsid w:val="00100479"/>
    <w:rsid w:val="00105188"/>
    <w:rsid w:val="00105811"/>
    <w:rsid w:val="00115201"/>
    <w:rsid w:val="0011555F"/>
    <w:rsid w:val="001244D0"/>
    <w:rsid w:val="001320EC"/>
    <w:rsid w:val="00133DB2"/>
    <w:rsid w:val="00133EAB"/>
    <w:rsid w:val="0014099E"/>
    <w:rsid w:val="0014184E"/>
    <w:rsid w:val="001442E7"/>
    <w:rsid w:val="00146FD2"/>
    <w:rsid w:val="00152EF1"/>
    <w:rsid w:val="00153542"/>
    <w:rsid w:val="00153CDC"/>
    <w:rsid w:val="00154FD3"/>
    <w:rsid w:val="001572C1"/>
    <w:rsid w:val="00160AE1"/>
    <w:rsid w:val="00161BEE"/>
    <w:rsid w:val="001631E2"/>
    <w:rsid w:val="00163F1C"/>
    <w:rsid w:val="00165BDD"/>
    <w:rsid w:val="00167DB2"/>
    <w:rsid w:val="001745B2"/>
    <w:rsid w:val="00175724"/>
    <w:rsid w:val="00184ACA"/>
    <w:rsid w:val="0018567E"/>
    <w:rsid w:val="001860BF"/>
    <w:rsid w:val="001911EC"/>
    <w:rsid w:val="001967F0"/>
    <w:rsid w:val="001A0D60"/>
    <w:rsid w:val="001A3D5B"/>
    <w:rsid w:val="001B3048"/>
    <w:rsid w:val="001C22BE"/>
    <w:rsid w:val="001C251F"/>
    <w:rsid w:val="001D77FC"/>
    <w:rsid w:val="001E527D"/>
    <w:rsid w:val="001F043C"/>
    <w:rsid w:val="001F3B82"/>
    <w:rsid w:val="001F5161"/>
    <w:rsid w:val="001F5727"/>
    <w:rsid w:val="00203170"/>
    <w:rsid w:val="0021548A"/>
    <w:rsid w:val="00216656"/>
    <w:rsid w:val="002313AF"/>
    <w:rsid w:val="002431E4"/>
    <w:rsid w:val="00245ACB"/>
    <w:rsid w:val="00245B5B"/>
    <w:rsid w:val="0024677B"/>
    <w:rsid w:val="002501A6"/>
    <w:rsid w:val="0025587E"/>
    <w:rsid w:val="00270F07"/>
    <w:rsid w:val="002732D9"/>
    <w:rsid w:val="0027569B"/>
    <w:rsid w:val="002945BF"/>
    <w:rsid w:val="002A1FD5"/>
    <w:rsid w:val="002B3EFE"/>
    <w:rsid w:val="002B65BB"/>
    <w:rsid w:val="002B7464"/>
    <w:rsid w:val="002B7F64"/>
    <w:rsid w:val="002C4B5D"/>
    <w:rsid w:val="002C6201"/>
    <w:rsid w:val="002D20E4"/>
    <w:rsid w:val="002D6001"/>
    <w:rsid w:val="002D61C1"/>
    <w:rsid w:val="002D673C"/>
    <w:rsid w:val="002E0F27"/>
    <w:rsid w:val="002E7C7C"/>
    <w:rsid w:val="002F0FB6"/>
    <w:rsid w:val="00305B53"/>
    <w:rsid w:val="00312616"/>
    <w:rsid w:val="003201C8"/>
    <w:rsid w:val="003247EA"/>
    <w:rsid w:val="003263B4"/>
    <w:rsid w:val="00326B56"/>
    <w:rsid w:val="00326F94"/>
    <w:rsid w:val="00330E4C"/>
    <w:rsid w:val="00331169"/>
    <w:rsid w:val="0033261A"/>
    <w:rsid w:val="0033264A"/>
    <w:rsid w:val="00333651"/>
    <w:rsid w:val="00333A43"/>
    <w:rsid w:val="00334236"/>
    <w:rsid w:val="00342534"/>
    <w:rsid w:val="0034294D"/>
    <w:rsid w:val="00344C90"/>
    <w:rsid w:val="00345DA2"/>
    <w:rsid w:val="00353FC8"/>
    <w:rsid w:val="00362E19"/>
    <w:rsid w:val="0036453B"/>
    <w:rsid w:val="003715DB"/>
    <w:rsid w:val="00372ED7"/>
    <w:rsid w:val="00376C9A"/>
    <w:rsid w:val="00382F51"/>
    <w:rsid w:val="00384D6B"/>
    <w:rsid w:val="003859E7"/>
    <w:rsid w:val="00393D40"/>
    <w:rsid w:val="003A26CF"/>
    <w:rsid w:val="003A6EDD"/>
    <w:rsid w:val="003C1C42"/>
    <w:rsid w:val="003C45DE"/>
    <w:rsid w:val="003D32DA"/>
    <w:rsid w:val="003D699F"/>
    <w:rsid w:val="003D7DE5"/>
    <w:rsid w:val="003E0728"/>
    <w:rsid w:val="003E28A5"/>
    <w:rsid w:val="003E48D4"/>
    <w:rsid w:val="003E5F9A"/>
    <w:rsid w:val="003E7AC4"/>
    <w:rsid w:val="003F36E3"/>
    <w:rsid w:val="0040021E"/>
    <w:rsid w:val="00402100"/>
    <w:rsid w:val="00414DCE"/>
    <w:rsid w:val="00422C9A"/>
    <w:rsid w:val="004255C7"/>
    <w:rsid w:val="00425E09"/>
    <w:rsid w:val="00430B6F"/>
    <w:rsid w:val="0043331B"/>
    <w:rsid w:val="00440553"/>
    <w:rsid w:val="00443780"/>
    <w:rsid w:val="00447241"/>
    <w:rsid w:val="004478F1"/>
    <w:rsid w:val="00447FB2"/>
    <w:rsid w:val="00450B29"/>
    <w:rsid w:val="00450C9F"/>
    <w:rsid w:val="00451BB4"/>
    <w:rsid w:val="00456DF1"/>
    <w:rsid w:val="00463FAD"/>
    <w:rsid w:val="0048085A"/>
    <w:rsid w:val="00483741"/>
    <w:rsid w:val="00490365"/>
    <w:rsid w:val="00494A66"/>
    <w:rsid w:val="00497467"/>
    <w:rsid w:val="004A338C"/>
    <w:rsid w:val="004A4250"/>
    <w:rsid w:val="004A5B6B"/>
    <w:rsid w:val="004A7AA5"/>
    <w:rsid w:val="004B411D"/>
    <w:rsid w:val="004B66E5"/>
    <w:rsid w:val="004B6FAB"/>
    <w:rsid w:val="004C1B4C"/>
    <w:rsid w:val="004C2A9C"/>
    <w:rsid w:val="004D16DF"/>
    <w:rsid w:val="004D7B3B"/>
    <w:rsid w:val="004F1444"/>
    <w:rsid w:val="004F48B3"/>
    <w:rsid w:val="00500120"/>
    <w:rsid w:val="005012CE"/>
    <w:rsid w:val="00503EE8"/>
    <w:rsid w:val="00503FF1"/>
    <w:rsid w:val="00507477"/>
    <w:rsid w:val="00527129"/>
    <w:rsid w:val="00534239"/>
    <w:rsid w:val="0053486F"/>
    <w:rsid w:val="00535E45"/>
    <w:rsid w:val="00540156"/>
    <w:rsid w:val="005402E4"/>
    <w:rsid w:val="005529B3"/>
    <w:rsid w:val="00554DC9"/>
    <w:rsid w:val="005624B2"/>
    <w:rsid w:val="00562BBE"/>
    <w:rsid w:val="005640C6"/>
    <w:rsid w:val="005676E5"/>
    <w:rsid w:val="00572CD1"/>
    <w:rsid w:val="00574F23"/>
    <w:rsid w:val="00576752"/>
    <w:rsid w:val="005868D8"/>
    <w:rsid w:val="00591299"/>
    <w:rsid w:val="00591489"/>
    <w:rsid w:val="005A0321"/>
    <w:rsid w:val="005A70BD"/>
    <w:rsid w:val="005B1D20"/>
    <w:rsid w:val="005B230C"/>
    <w:rsid w:val="005D0836"/>
    <w:rsid w:val="005D0FE7"/>
    <w:rsid w:val="005D720A"/>
    <w:rsid w:val="005E21A4"/>
    <w:rsid w:val="005E31F9"/>
    <w:rsid w:val="005F3913"/>
    <w:rsid w:val="005F3E2D"/>
    <w:rsid w:val="005F683B"/>
    <w:rsid w:val="005F6D8C"/>
    <w:rsid w:val="00603E0F"/>
    <w:rsid w:val="0060571A"/>
    <w:rsid w:val="006128B8"/>
    <w:rsid w:val="00613750"/>
    <w:rsid w:val="006258E4"/>
    <w:rsid w:val="00630DDB"/>
    <w:rsid w:val="00636FCF"/>
    <w:rsid w:val="006406AE"/>
    <w:rsid w:val="006439D7"/>
    <w:rsid w:val="00645AD4"/>
    <w:rsid w:val="006478FA"/>
    <w:rsid w:val="0066431A"/>
    <w:rsid w:val="00680CF5"/>
    <w:rsid w:val="00682B73"/>
    <w:rsid w:val="00682EC2"/>
    <w:rsid w:val="006871AC"/>
    <w:rsid w:val="00692B0C"/>
    <w:rsid w:val="0069526B"/>
    <w:rsid w:val="006958E0"/>
    <w:rsid w:val="0069770B"/>
    <w:rsid w:val="006A01F4"/>
    <w:rsid w:val="006B0908"/>
    <w:rsid w:val="006C2187"/>
    <w:rsid w:val="006C5BC9"/>
    <w:rsid w:val="006E0689"/>
    <w:rsid w:val="006E2B36"/>
    <w:rsid w:val="006F44CE"/>
    <w:rsid w:val="00703508"/>
    <w:rsid w:val="0070473B"/>
    <w:rsid w:val="0070512E"/>
    <w:rsid w:val="00705381"/>
    <w:rsid w:val="007056B0"/>
    <w:rsid w:val="00711AA1"/>
    <w:rsid w:val="00714B19"/>
    <w:rsid w:val="00722BDE"/>
    <w:rsid w:val="00734243"/>
    <w:rsid w:val="00743611"/>
    <w:rsid w:val="00753E90"/>
    <w:rsid w:val="00773DEB"/>
    <w:rsid w:val="007741DF"/>
    <w:rsid w:val="00774636"/>
    <w:rsid w:val="00781243"/>
    <w:rsid w:val="0078732B"/>
    <w:rsid w:val="00787DA9"/>
    <w:rsid w:val="00787E0A"/>
    <w:rsid w:val="007A2CFF"/>
    <w:rsid w:val="007B3313"/>
    <w:rsid w:val="007B663B"/>
    <w:rsid w:val="007C4D01"/>
    <w:rsid w:val="007C5A5C"/>
    <w:rsid w:val="007D4C61"/>
    <w:rsid w:val="007D63D4"/>
    <w:rsid w:val="007E7B92"/>
    <w:rsid w:val="007F20AE"/>
    <w:rsid w:val="007F5560"/>
    <w:rsid w:val="00803056"/>
    <w:rsid w:val="00805CF9"/>
    <w:rsid w:val="00810B05"/>
    <w:rsid w:val="00820B48"/>
    <w:rsid w:val="00823735"/>
    <w:rsid w:val="00823FEB"/>
    <w:rsid w:val="008261D1"/>
    <w:rsid w:val="0082646C"/>
    <w:rsid w:val="00830C0D"/>
    <w:rsid w:val="0083534E"/>
    <w:rsid w:val="00840511"/>
    <w:rsid w:val="008416BE"/>
    <w:rsid w:val="00843316"/>
    <w:rsid w:val="00846E73"/>
    <w:rsid w:val="00854218"/>
    <w:rsid w:val="008606E1"/>
    <w:rsid w:val="0086088C"/>
    <w:rsid w:val="00862648"/>
    <w:rsid w:val="00865284"/>
    <w:rsid w:val="00876E5D"/>
    <w:rsid w:val="00885444"/>
    <w:rsid w:val="00885706"/>
    <w:rsid w:val="008869C4"/>
    <w:rsid w:val="00890369"/>
    <w:rsid w:val="00891880"/>
    <w:rsid w:val="00897789"/>
    <w:rsid w:val="008A015E"/>
    <w:rsid w:val="008A06D1"/>
    <w:rsid w:val="008B0CB5"/>
    <w:rsid w:val="008B780C"/>
    <w:rsid w:val="008C2240"/>
    <w:rsid w:val="008C2CEA"/>
    <w:rsid w:val="008C6778"/>
    <w:rsid w:val="008D2D31"/>
    <w:rsid w:val="008D537D"/>
    <w:rsid w:val="008D7250"/>
    <w:rsid w:val="008E1BD1"/>
    <w:rsid w:val="008F524D"/>
    <w:rsid w:val="008F5647"/>
    <w:rsid w:val="00913444"/>
    <w:rsid w:val="00914BC2"/>
    <w:rsid w:val="00923871"/>
    <w:rsid w:val="00931B93"/>
    <w:rsid w:val="0093251F"/>
    <w:rsid w:val="00933901"/>
    <w:rsid w:val="009360A9"/>
    <w:rsid w:val="00943A19"/>
    <w:rsid w:val="00953102"/>
    <w:rsid w:val="009532B2"/>
    <w:rsid w:val="00955DC1"/>
    <w:rsid w:val="0097351B"/>
    <w:rsid w:val="00974798"/>
    <w:rsid w:val="00983916"/>
    <w:rsid w:val="00984E7D"/>
    <w:rsid w:val="009854E2"/>
    <w:rsid w:val="00995FDF"/>
    <w:rsid w:val="009A4204"/>
    <w:rsid w:val="009A6F62"/>
    <w:rsid w:val="009B7DFE"/>
    <w:rsid w:val="009C06B5"/>
    <w:rsid w:val="009C2C93"/>
    <w:rsid w:val="009C72BB"/>
    <w:rsid w:val="009F1800"/>
    <w:rsid w:val="009F5920"/>
    <w:rsid w:val="009F7A0D"/>
    <w:rsid w:val="00A07FA6"/>
    <w:rsid w:val="00A13634"/>
    <w:rsid w:val="00A179CB"/>
    <w:rsid w:val="00A2192D"/>
    <w:rsid w:val="00A221E1"/>
    <w:rsid w:val="00A262B2"/>
    <w:rsid w:val="00A363ED"/>
    <w:rsid w:val="00A40C1F"/>
    <w:rsid w:val="00A47B9C"/>
    <w:rsid w:val="00A50CAC"/>
    <w:rsid w:val="00A52BFA"/>
    <w:rsid w:val="00A55D18"/>
    <w:rsid w:val="00A61739"/>
    <w:rsid w:val="00A65310"/>
    <w:rsid w:val="00A66741"/>
    <w:rsid w:val="00A6763D"/>
    <w:rsid w:val="00A74F07"/>
    <w:rsid w:val="00A8255E"/>
    <w:rsid w:val="00A85F1E"/>
    <w:rsid w:val="00A87182"/>
    <w:rsid w:val="00A9061A"/>
    <w:rsid w:val="00A919BB"/>
    <w:rsid w:val="00A9206B"/>
    <w:rsid w:val="00A9312C"/>
    <w:rsid w:val="00A93B0A"/>
    <w:rsid w:val="00A9667F"/>
    <w:rsid w:val="00AA11B9"/>
    <w:rsid w:val="00AA2266"/>
    <w:rsid w:val="00AA5EEB"/>
    <w:rsid w:val="00AB17F0"/>
    <w:rsid w:val="00AB2CF3"/>
    <w:rsid w:val="00AB2F59"/>
    <w:rsid w:val="00AB621F"/>
    <w:rsid w:val="00AC0BD3"/>
    <w:rsid w:val="00AC14E6"/>
    <w:rsid w:val="00AC1C30"/>
    <w:rsid w:val="00AC3C64"/>
    <w:rsid w:val="00AC49CB"/>
    <w:rsid w:val="00AC4FAE"/>
    <w:rsid w:val="00AC5F01"/>
    <w:rsid w:val="00AD2B07"/>
    <w:rsid w:val="00AD7061"/>
    <w:rsid w:val="00AE1DA8"/>
    <w:rsid w:val="00AE2294"/>
    <w:rsid w:val="00AE2D90"/>
    <w:rsid w:val="00AE3ACF"/>
    <w:rsid w:val="00AF0F8A"/>
    <w:rsid w:val="00B040C4"/>
    <w:rsid w:val="00B0626C"/>
    <w:rsid w:val="00B117B7"/>
    <w:rsid w:val="00B1222D"/>
    <w:rsid w:val="00B1429E"/>
    <w:rsid w:val="00B16DFD"/>
    <w:rsid w:val="00B22967"/>
    <w:rsid w:val="00B23D9C"/>
    <w:rsid w:val="00B33A67"/>
    <w:rsid w:val="00B3418D"/>
    <w:rsid w:val="00B36D0B"/>
    <w:rsid w:val="00B3758D"/>
    <w:rsid w:val="00B452F9"/>
    <w:rsid w:val="00B51285"/>
    <w:rsid w:val="00B531D8"/>
    <w:rsid w:val="00B54298"/>
    <w:rsid w:val="00B603BE"/>
    <w:rsid w:val="00B6080A"/>
    <w:rsid w:val="00B679EC"/>
    <w:rsid w:val="00B76981"/>
    <w:rsid w:val="00B83DCF"/>
    <w:rsid w:val="00B87B02"/>
    <w:rsid w:val="00B97928"/>
    <w:rsid w:val="00BA3B32"/>
    <w:rsid w:val="00BC2FC0"/>
    <w:rsid w:val="00BC3029"/>
    <w:rsid w:val="00BC532D"/>
    <w:rsid w:val="00BD71BF"/>
    <w:rsid w:val="00BE42AC"/>
    <w:rsid w:val="00BE7281"/>
    <w:rsid w:val="00BF1BBD"/>
    <w:rsid w:val="00C239E1"/>
    <w:rsid w:val="00C30B19"/>
    <w:rsid w:val="00C3181A"/>
    <w:rsid w:val="00C357F7"/>
    <w:rsid w:val="00C43BBD"/>
    <w:rsid w:val="00C45896"/>
    <w:rsid w:val="00C51DA3"/>
    <w:rsid w:val="00C52FB5"/>
    <w:rsid w:val="00C53A1D"/>
    <w:rsid w:val="00C5440E"/>
    <w:rsid w:val="00C547E1"/>
    <w:rsid w:val="00C60046"/>
    <w:rsid w:val="00C624DC"/>
    <w:rsid w:val="00C63FE5"/>
    <w:rsid w:val="00C642B2"/>
    <w:rsid w:val="00C7009A"/>
    <w:rsid w:val="00C71E9B"/>
    <w:rsid w:val="00C71EF7"/>
    <w:rsid w:val="00C72EA3"/>
    <w:rsid w:val="00C83A4B"/>
    <w:rsid w:val="00C83CDD"/>
    <w:rsid w:val="00C949BC"/>
    <w:rsid w:val="00CA03F0"/>
    <w:rsid w:val="00CA0E09"/>
    <w:rsid w:val="00CA269A"/>
    <w:rsid w:val="00CA3F8A"/>
    <w:rsid w:val="00CB7BC6"/>
    <w:rsid w:val="00CC0596"/>
    <w:rsid w:val="00CC423C"/>
    <w:rsid w:val="00CC4BD9"/>
    <w:rsid w:val="00CD13A8"/>
    <w:rsid w:val="00CD1D66"/>
    <w:rsid w:val="00CD5D29"/>
    <w:rsid w:val="00CD6444"/>
    <w:rsid w:val="00CE7D6F"/>
    <w:rsid w:val="00CF068B"/>
    <w:rsid w:val="00CF394B"/>
    <w:rsid w:val="00CF449C"/>
    <w:rsid w:val="00CF6D90"/>
    <w:rsid w:val="00D00E81"/>
    <w:rsid w:val="00D03D21"/>
    <w:rsid w:val="00D06536"/>
    <w:rsid w:val="00D100AA"/>
    <w:rsid w:val="00D10748"/>
    <w:rsid w:val="00D142FB"/>
    <w:rsid w:val="00D14752"/>
    <w:rsid w:val="00D16747"/>
    <w:rsid w:val="00D17132"/>
    <w:rsid w:val="00D2128A"/>
    <w:rsid w:val="00D3218B"/>
    <w:rsid w:val="00D327C6"/>
    <w:rsid w:val="00D33BAA"/>
    <w:rsid w:val="00D37268"/>
    <w:rsid w:val="00D37C8C"/>
    <w:rsid w:val="00D4476F"/>
    <w:rsid w:val="00D55F51"/>
    <w:rsid w:val="00D6529A"/>
    <w:rsid w:val="00D65A66"/>
    <w:rsid w:val="00D95D67"/>
    <w:rsid w:val="00DA3C7A"/>
    <w:rsid w:val="00DB1766"/>
    <w:rsid w:val="00DB201A"/>
    <w:rsid w:val="00DB36AC"/>
    <w:rsid w:val="00DB73E8"/>
    <w:rsid w:val="00DC4218"/>
    <w:rsid w:val="00DD1F3A"/>
    <w:rsid w:val="00DD4909"/>
    <w:rsid w:val="00DD74F7"/>
    <w:rsid w:val="00DF6638"/>
    <w:rsid w:val="00E00DE0"/>
    <w:rsid w:val="00E07B66"/>
    <w:rsid w:val="00E23E4D"/>
    <w:rsid w:val="00E25804"/>
    <w:rsid w:val="00E266FC"/>
    <w:rsid w:val="00E30D39"/>
    <w:rsid w:val="00E3338A"/>
    <w:rsid w:val="00E366FB"/>
    <w:rsid w:val="00E42B39"/>
    <w:rsid w:val="00E46ACA"/>
    <w:rsid w:val="00E52327"/>
    <w:rsid w:val="00E53183"/>
    <w:rsid w:val="00E564AF"/>
    <w:rsid w:val="00E60254"/>
    <w:rsid w:val="00E63153"/>
    <w:rsid w:val="00E705CD"/>
    <w:rsid w:val="00E7090D"/>
    <w:rsid w:val="00E751A7"/>
    <w:rsid w:val="00E76C13"/>
    <w:rsid w:val="00E77951"/>
    <w:rsid w:val="00E823BD"/>
    <w:rsid w:val="00E82488"/>
    <w:rsid w:val="00E82879"/>
    <w:rsid w:val="00E86BBA"/>
    <w:rsid w:val="00E87698"/>
    <w:rsid w:val="00E91938"/>
    <w:rsid w:val="00E95040"/>
    <w:rsid w:val="00E95647"/>
    <w:rsid w:val="00E957D1"/>
    <w:rsid w:val="00E96FED"/>
    <w:rsid w:val="00EA2ED4"/>
    <w:rsid w:val="00EA3463"/>
    <w:rsid w:val="00EA36BE"/>
    <w:rsid w:val="00EA5373"/>
    <w:rsid w:val="00EB171C"/>
    <w:rsid w:val="00EC336A"/>
    <w:rsid w:val="00EC54AD"/>
    <w:rsid w:val="00EC57FE"/>
    <w:rsid w:val="00EC5F8C"/>
    <w:rsid w:val="00ED01ED"/>
    <w:rsid w:val="00ED12B5"/>
    <w:rsid w:val="00ED24DA"/>
    <w:rsid w:val="00ED41B2"/>
    <w:rsid w:val="00ED5A00"/>
    <w:rsid w:val="00EE207F"/>
    <w:rsid w:val="00EF0ABC"/>
    <w:rsid w:val="00EF5329"/>
    <w:rsid w:val="00EF584F"/>
    <w:rsid w:val="00EF675A"/>
    <w:rsid w:val="00F02ABC"/>
    <w:rsid w:val="00F03869"/>
    <w:rsid w:val="00F05139"/>
    <w:rsid w:val="00F05C3B"/>
    <w:rsid w:val="00F10A5E"/>
    <w:rsid w:val="00F11476"/>
    <w:rsid w:val="00F12F11"/>
    <w:rsid w:val="00F261EB"/>
    <w:rsid w:val="00F32CE0"/>
    <w:rsid w:val="00F35AB0"/>
    <w:rsid w:val="00F40119"/>
    <w:rsid w:val="00F632C6"/>
    <w:rsid w:val="00F71427"/>
    <w:rsid w:val="00F74035"/>
    <w:rsid w:val="00F74E9E"/>
    <w:rsid w:val="00F74FC2"/>
    <w:rsid w:val="00F829DE"/>
    <w:rsid w:val="00F86C7F"/>
    <w:rsid w:val="00F947B7"/>
    <w:rsid w:val="00F94FFC"/>
    <w:rsid w:val="00FA249B"/>
    <w:rsid w:val="00FB7EAB"/>
    <w:rsid w:val="00FC763C"/>
    <w:rsid w:val="00FD0416"/>
    <w:rsid w:val="00FD2EB6"/>
    <w:rsid w:val="00FE6CA5"/>
    <w:rsid w:val="00FF11B5"/>
    <w:rsid w:val="00FF6AD8"/>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rsid w:val="00133EAB"/>
    <w:pPr>
      <w:spacing w:before="120"/>
    </w:pPr>
    <w:rPr>
      <w:rFonts w:ascii="Verdana" w:hAnsi="Verdana"/>
      <w:lang w:val="en-US" w:eastAsia="es-ES" w:bidi="ar-SA"/>
    </w:rPr>
  </w:style>
  <w:style w:type="paragraph" w:styleId="Heading1">
    <w:name w:val="heading 1"/>
    <w:aliases w:val="ModelerHeading1"/>
    <w:basedOn w:val="Normal"/>
    <w:next w:val="Normal"/>
    <w:link w:val="Heading1Char"/>
    <w:autoRedefine/>
    <w:qFormat/>
    <w:rsid w:val="00216656"/>
    <w:pPr>
      <w:keepNext/>
      <w:pageBreakBefore/>
      <w:numPr>
        <w:ilvl w:val="0"/>
        <w:numId w:val="44"/>
      </w:numPr>
      <w:spacing w:before="0" w:after="60"/>
      <w:jc w:val="left"/>
      <w:outlineLvl w:val="0"/>
    </w:pPr>
    <w:rPr>
      <w:rFonts w:ascii="Segoe UI Semilight" w:hAnsi="Segoe UI Semilight"/>
      <w:iCs/>
      <w:caps/>
      <w:shadow/>
      <w:spacing w:val="50"/>
      <w:kern w:val="28"/>
      <w:sz w:val="40"/>
    </w:rPr>
  </w:style>
  <w:style w:type="paragraph" w:styleId="Heading2">
    <w:name w:val="heading 2"/>
    <w:basedOn w:val="Normal"/>
    <w:next w:val="Normal"/>
    <w:autoRedefine/>
    <w:qFormat/>
    <w:rsid w:val="00216656"/>
    <w:pPr>
      <w:keepNext/>
      <w:numPr>
        <w:ilvl w:val="1"/>
        <w:numId w:val="44"/>
      </w:numPr>
      <w:spacing w:before="240" w:after="100" w:afterAutospacing="1"/>
      <w:outlineLvl w:val="1"/>
    </w:pPr>
    <w:rPr>
      <w:rFonts w:ascii="Segoe UI Semilight" w:hAnsi="Segoe UI Semilight"/>
      <w:b/>
      <w:caps/>
      <w:spacing w:val="98"/>
      <w:sz w:val="28"/>
      <w:szCs w:val="28"/>
      <w:lang w:val="es-ES_tradnl"/>
    </w:rPr>
  </w:style>
  <w:style w:type="paragraph" w:styleId="Heading3">
    <w:name w:val="heading 3"/>
    <w:basedOn w:val="Normal"/>
    <w:next w:val="Normal"/>
    <w:autoRedefine/>
    <w:qFormat/>
    <w:rsid w:val="00216656"/>
    <w:pPr>
      <w:keepNext/>
      <w:numPr>
        <w:ilvl w:val="2"/>
        <w:numId w:val="44"/>
      </w:numPr>
      <w:pBdr>
        <w:top w:val="single" w:sz="4" w:space="1" w:color="auto"/>
      </w:pBdr>
      <w:spacing w:before="240" w:after="60"/>
      <w:outlineLvl w:val="2"/>
    </w:pPr>
    <w:rPr>
      <w:rFonts w:ascii="Segoe UI Semilight" w:hAnsi="Segoe UI Semilight"/>
      <w:b/>
      <w:caps/>
      <w:sz w:val="24"/>
      <w:szCs w:val="24"/>
    </w:rPr>
  </w:style>
  <w:style w:type="paragraph" w:styleId="Heading4">
    <w:name w:val="heading 4"/>
    <w:basedOn w:val="Normal"/>
    <w:next w:val="Normal4"/>
    <w:qFormat/>
    <w:rsid w:val="00216656"/>
    <w:pPr>
      <w:keepNext/>
      <w:numPr>
        <w:ilvl w:val="3"/>
        <w:numId w:val="44"/>
      </w:numPr>
      <w:spacing w:after="60"/>
      <w:outlineLvl w:val="3"/>
    </w:pPr>
    <w:rPr>
      <w:rFonts w:ascii="Segoe UI Semilight" w:hAnsi="Segoe UI Semilight"/>
      <w:b/>
      <w:bCs/>
    </w:rPr>
  </w:style>
  <w:style w:type="paragraph" w:styleId="Heading5">
    <w:name w:val="heading 5"/>
    <w:basedOn w:val="Normal"/>
    <w:next w:val="Normal5"/>
    <w:autoRedefine/>
    <w:qFormat/>
    <w:rsid w:val="00216656"/>
    <w:pPr>
      <w:numPr>
        <w:ilvl w:val="4"/>
        <w:numId w:val="44"/>
      </w:numPr>
      <w:outlineLvl w:val="4"/>
    </w:pPr>
    <w:rPr>
      <w:rFonts w:ascii="Segoe UI Semilight" w:hAnsi="Segoe UI Semilight"/>
      <w:b/>
      <w:bCs/>
      <w:iCs/>
    </w:rPr>
  </w:style>
  <w:style w:type="paragraph" w:styleId="Heading6">
    <w:name w:val="heading 6"/>
    <w:basedOn w:val="Normal"/>
    <w:next w:val="Normal"/>
    <w:autoRedefine/>
    <w:qFormat/>
    <w:rsid w:val="00216656"/>
    <w:pPr>
      <w:numPr>
        <w:ilvl w:val="5"/>
        <w:numId w:val="44"/>
      </w:numPr>
      <w:spacing w:before="240" w:after="60"/>
      <w:outlineLvl w:val="5"/>
    </w:pPr>
    <w:rPr>
      <w:rFonts w:ascii="Segoe UI Semilight" w:hAnsi="Segoe UI Semilight"/>
      <w:bCs/>
    </w:rPr>
  </w:style>
  <w:style w:type="paragraph" w:styleId="Heading7">
    <w:name w:val="heading 7"/>
    <w:basedOn w:val="Normal"/>
    <w:next w:val="Normal"/>
    <w:qFormat/>
    <w:rsid w:val="00216656"/>
    <w:pPr>
      <w:numPr>
        <w:ilvl w:val="6"/>
        <w:numId w:val="44"/>
      </w:numPr>
      <w:spacing w:before="240" w:after="60"/>
      <w:outlineLvl w:val="6"/>
    </w:pPr>
    <w:rPr>
      <w:rFonts w:ascii="Segoe UI Semilight" w:hAnsi="Segoe UI Semilight"/>
      <w:sz w:val="24"/>
      <w:szCs w:val="24"/>
    </w:rPr>
  </w:style>
  <w:style w:type="paragraph" w:styleId="Heading8">
    <w:name w:val="heading 8"/>
    <w:basedOn w:val="Normal"/>
    <w:next w:val="Normal"/>
    <w:qFormat/>
    <w:rsid w:val="00216656"/>
    <w:pPr>
      <w:numPr>
        <w:ilvl w:val="7"/>
        <w:numId w:val="44"/>
      </w:numPr>
      <w:spacing w:before="240" w:after="60"/>
      <w:outlineLvl w:val="7"/>
    </w:pPr>
    <w:rPr>
      <w:rFonts w:ascii="Segoe UI Semilight" w:hAnsi="Segoe UI Semilight"/>
      <w:i/>
      <w:iCs/>
      <w:sz w:val="24"/>
      <w:szCs w:val="24"/>
    </w:rPr>
  </w:style>
  <w:style w:type="paragraph" w:styleId="Heading9">
    <w:name w:val="heading 9"/>
    <w:basedOn w:val="Normal"/>
    <w:next w:val="Normal"/>
    <w:qFormat/>
    <w:rsid w:val="00216656"/>
    <w:pPr>
      <w:numPr>
        <w:ilvl w:val="8"/>
        <w:numId w:val="44"/>
      </w:numPr>
      <w:spacing w:before="240" w:after="60"/>
      <w:outlineLvl w:val="8"/>
    </w:pPr>
    <w:rPr>
      <w:rFonts w:ascii="Segoe UI Semilight" w:hAnsi="Segoe UI Semilight"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Heading1Char">
    <w:name w:val="Heading 1 Char"/>
    <w:aliases w:val="ModelerHeading1 Char"/>
    <w:link w:val="Heading1"/>
    <w:rsid w:val="00216656"/>
    <w:rPr>
      <w:rFonts w:ascii="Segoe UI Semilight" w:hAnsi="Segoe UI Semilight"/>
      <w:iCs/>
      <w:caps/>
      <w:shadow/>
      <w:spacing w:val="50"/>
      <w:kern w:val="28"/>
      <w:sz w:val="40"/>
      <w:lang w:val="en-US" w:eastAsia="es-ES"/>
    </w:rPr>
  </w:style>
  <w:style w:type="paragraph" w:styleId="TOC1">
    <w:name w:val="toc 1"/>
    <w:basedOn w:val="Normal"/>
    <w:next w:val="Normal"/>
    <w:autoRedefine/>
    <w:semiHidden/>
    <w:rsid w:val="00C43BBD"/>
    <w:pPr>
      <w:jc w:val="left"/>
    </w:pPr>
    <w:rPr>
      <w:caps/>
      <w:lang w:val="es-ES_tradnl"/>
    </w:rPr>
  </w:style>
  <w:style w:type="paragraph" w:styleId="TOC2">
    <w:name w:val="toc 2"/>
    <w:basedOn w:val="Normal"/>
    <w:next w:val="Normal"/>
    <w:autoRedefine/>
    <w:semiHidden/>
    <w:rsid w:val="00C43BBD"/>
    <w:pPr>
      <w:tabs>
        <w:tab w:val="right" w:leader="dot" w:pos="8828"/>
      </w:tabs>
      <w:spacing w:before="0"/>
      <w:ind w:left="198"/>
    </w:pPr>
    <w:rPr>
      <w:smallCaps/>
    </w:rPr>
  </w:style>
  <w:style w:type="paragraph" w:styleId="TOC3">
    <w:name w:val="toc 3"/>
    <w:basedOn w:val="Normal"/>
    <w:next w:val="Normal"/>
    <w:autoRedefine/>
    <w:semiHidden/>
    <w:rsid w:val="00A55D18"/>
    <w:pPr>
      <w:tabs>
        <w:tab w:val="right" w:leader="dot" w:pos="8828"/>
      </w:tabs>
      <w:spacing w:before="0"/>
      <w:ind w:left="403"/>
    </w:pPr>
    <w:rPr>
      <w:noProof/>
      <w:color w:val="000000"/>
      <w:lang w:val="es-ES"/>
    </w:rPr>
  </w:style>
  <w:style w:type="character" w:styleId="Hyperlink">
    <w:name w:val="Hyperlink"/>
    <w:rsid w:val="00A55D18"/>
    <w:rPr>
      <w:color w:val="0000FF"/>
      <w:u w:val="single"/>
    </w:rPr>
  </w:style>
  <w:style w:type="paragraph" w:styleId="Header">
    <w:name w:val="header"/>
    <w:basedOn w:val="Normal"/>
    <w:rsid w:val="00A55D18"/>
    <w:pPr>
      <w:tabs>
        <w:tab w:val="center" w:pos="4419"/>
        <w:tab w:val="right" w:pos="8838"/>
      </w:tabs>
    </w:pPr>
  </w:style>
  <w:style w:type="paragraph" w:styleId="Footer">
    <w:name w:val="footer"/>
    <w:basedOn w:val="Normal"/>
    <w:rsid w:val="00A55D18"/>
    <w:pPr>
      <w:tabs>
        <w:tab w:val="center" w:pos="4419"/>
        <w:tab w:val="right" w:pos="8838"/>
      </w:tabs>
    </w:pPr>
  </w:style>
  <w:style w:type="character" w:styleId="PageNumber">
    <w:name w:val="page number"/>
    <w:basedOn w:val="DefaultParagraphFont"/>
    <w:rsid w:val="00A55D18"/>
  </w:style>
  <w:style w:type="paragraph" w:customStyle="1" w:styleId="Titular">
    <w:name w:val="Titular"/>
    <w:basedOn w:val="Heading1"/>
    <w:link w:val="TitularChar"/>
    <w:semiHidden/>
    <w:rsid w:val="00A55D18"/>
    <w:rPr>
      <w:color w:val="333333"/>
    </w:rPr>
  </w:style>
  <w:style w:type="character" w:customStyle="1" w:styleId="TitularChar">
    <w:name w:val="Titular Char"/>
    <w:link w:val="Titular"/>
    <w:rsid w:val="00A55D18"/>
    <w:rPr>
      <w:rFonts w:ascii="Humanst521 BT" w:hAnsi="Humanst521 BT"/>
      <w:iCs/>
      <w:caps/>
      <w:shadow/>
      <w:color w:val="333333"/>
      <w:spacing w:val="50"/>
      <w:kern w:val="28"/>
      <w:sz w:val="40"/>
      <w:lang w:val="es-CO" w:eastAsia="es-ES" w:bidi="ar-SA"/>
    </w:rPr>
  </w:style>
  <w:style w:type="paragraph" w:styleId="BodyText">
    <w:name w:val="Body Text"/>
    <w:basedOn w:val="Normal"/>
    <w:link w:val="BodyTextChar"/>
    <w:rsid w:val="004255C7"/>
    <w:pPr>
      <w:spacing w:before="0"/>
    </w:pPr>
    <w:rPr>
      <w:bCs/>
    </w:rPr>
  </w:style>
  <w:style w:type="table" w:styleId="TableGrid">
    <w:name w:val="Table Grid"/>
    <w:basedOn w:val="TableNormal"/>
    <w:semiHidden/>
    <w:rsid w:val="004255C7"/>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semiHidden/>
    <w:rsid w:val="00AE3ACF"/>
  </w:style>
  <w:style w:type="character" w:styleId="FootnoteReference">
    <w:name w:val="footnote reference"/>
    <w:semiHidden/>
    <w:rsid w:val="00AE3ACF"/>
    <w:rPr>
      <w:vertAlign w:val="superscript"/>
    </w:rPr>
  </w:style>
  <w:style w:type="paragraph" w:customStyle="1" w:styleId="StyleTitularBold">
    <w:name w:val="Style Titular + Bold"/>
    <w:basedOn w:val="Titular"/>
    <w:autoRedefine/>
    <w:rsid w:val="008C2CEA"/>
    <w:pPr>
      <w:pageBreakBefore w:val="0"/>
    </w:pPr>
    <w:rPr>
      <w:b/>
      <w:bCs/>
      <w:iCs w:val="0"/>
      <w:szCs w:val="40"/>
    </w:rPr>
  </w:style>
  <w:style w:type="paragraph" w:customStyle="1" w:styleId="Aviso">
    <w:name w:val="Aviso"/>
    <w:basedOn w:val="Normal"/>
    <w:autoRedefine/>
    <w:rsid w:val="0033264A"/>
    <w:pPr>
      <w:spacing w:before="0"/>
      <w:jc w:val="left"/>
    </w:pPr>
    <w:rPr>
      <w:b/>
      <w:sz w:val="15"/>
      <w:szCs w:val="15"/>
      <w:lang w:val="es-ES_tradnl"/>
    </w:rPr>
  </w:style>
  <w:style w:type="paragraph" w:customStyle="1" w:styleId="TitularInicio">
    <w:name w:val="TitularInicio"/>
    <w:basedOn w:val="StyleTitularBold"/>
    <w:autoRedefine/>
    <w:rsid w:val="005A0321"/>
    <w:pPr>
      <w:numPr>
        <w:ilvl w:val="0"/>
        <w:numId w:val="0"/>
      </w:numPr>
    </w:pPr>
    <w:rPr>
      <w:color w:val="0081C6"/>
    </w:rPr>
  </w:style>
  <w:style w:type="numbering" w:customStyle="1" w:styleId="Lista">
    <w:name w:val="Lista"/>
    <w:basedOn w:val="NoList"/>
    <w:rsid w:val="007741DF"/>
    <w:pPr>
      <w:numPr>
        <w:numId w:val="37"/>
      </w:numPr>
    </w:pPr>
  </w:style>
  <w:style w:type="paragraph" w:customStyle="1" w:styleId="Normal4">
    <w:name w:val="Normal4"/>
    <w:basedOn w:val="Normal"/>
    <w:rsid w:val="00216656"/>
    <w:pPr>
      <w:ind w:left="504"/>
    </w:pPr>
    <w:rPr>
      <w:rFonts w:ascii="Segoe UI Semilight" w:hAnsi="Segoe UI Semilight"/>
      <w:lang w:val="es-ES_tradnl"/>
    </w:rPr>
  </w:style>
  <w:style w:type="paragraph" w:styleId="TOC5">
    <w:name w:val="toc 5"/>
    <w:basedOn w:val="Normal"/>
    <w:next w:val="Normal"/>
    <w:autoRedefine/>
    <w:semiHidden/>
    <w:rsid w:val="00854218"/>
    <w:pPr>
      <w:ind w:left="800"/>
    </w:pPr>
  </w:style>
  <w:style w:type="paragraph" w:customStyle="1" w:styleId="Normal5">
    <w:name w:val="Normal5"/>
    <w:basedOn w:val="Normal"/>
    <w:rsid w:val="000774A1"/>
    <w:pPr>
      <w:ind w:left="1440"/>
    </w:pPr>
  </w:style>
  <w:style w:type="paragraph" w:customStyle="1" w:styleId="bizNormal">
    <w:name w:val="bizNormal"/>
    <w:basedOn w:val="Normal"/>
    <w:rsid w:val="00216656"/>
    <w:rPr>
      <w:rFonts w:ascii="Segoe UI Semilight" w:hAnsi="Segoe UI Semilight"/>
    </w:rPr>
  </w:style>
  <w:style w:type="paragraph" w:customStyle="1" w:styleId="bizHeading1">
    <w:name w:val="bizHeading1"/>
    <w:basedOn w:val="Heading1"/>
    <w:next w:val="Normal"/>
    <w:rsid w:val="005A0321"/>
    <w:rPr>
      <w:color w:val="0081C6"/>
      <w:sz w:val="32"/>
    </w:rPr>
  </w:style>
  <w:style w:type="paragraph" w:customStyle="1" w:styleId="bizHeading2">
    <w:name w:val="bizHeading2"/>
    <w:basedOn w:val="Heading2"/>
    <w:next w:val="Normal"/>
    <w:rsid w:val="00C83CDD"/>
    <w:rPr>
      <w:color w:val="0081C6"/>
      <w:lang w:val="en-US"/>
    </w:rPr>
  </w:style>
  <w:style w:type="paragraph" w:customStyle="1" w:styleId="bizHeading3">
    <w:name w:val="bizHeading3"/>
    <w:basedOn w:val="Heading3"/>
    <w:next w:val="Normal"/>
    <w:rsid w:val="005A0321"/>
    <w:rPr>
      <w:color w:val="0081C6"/>
    </w:rPr>
  </w:style>
  <w:style w:type="paragraph" w:customStyle="1" w:styleId="bizHeading4">
    <w:name w:val="bizHeading4"/>
    <w:basedOn w:val="Heading4"/>
    <w:next w:val="Normal4"/>
    <w:rsid w:val="005A0321"/>
    <w:rPr>
      <w:color w:val="0081C6"/>
    </w:rPr>
  </w:style>
  <w:style w:type="paragraph" w:customStyle="1" w:styleId="bizHeading5">
    <w:name w:val="bizHeading5"/>
    <w:basedOn w:val="Heading5"/>
    <w:next w:val="Normal5"/>
    <w:rsid w:val="005A0321"/>
    <w:rPr>
      <w:color w:val="0081C6"/>
    </w:rPr>
  </w:style>
  <w:style w:type="paragraph" w:styleId="BalloonText">
    <w:name w:val="Balloon Text"/>
    <w:basedOn w:val="Normal"/>
    <w:link w:val="BalloonTextChar"/>
    <w:rsid w:val="008C2CEA"/>
    <w:pPr>
      <w:spacing w:before="0"/>
    </w:pPr>
    <w:rPr>
      <w:rFonts w:ascii="Tahoma" w:hAnsi="Tahoma" w:cs="Tahoma"/>
      <w:sz w:val="16"/>
      <w:szCs w:val="16"/>
    </w:rPr>
  </w:style>
  <w:style w:type="character" w:customStyle="1" w:styleId="BalloonTextChar">
    <w:name w:val="Balloon Text Char"/>
    <w:link w:val="BalloonText"/>
    <w:rsid w:val="008C2CEA"/>
    <w:rPr>
      <w:rFonts w:ascii="Tahoma" w:hAnsi="Tahoma" w:cs="Tahoma"/>
      <w:sz w:val="16"/>
      <w:szCs w:val="16"/>
      <w:lang w:val="es-CO" w:eastAsia="es-ES"/>
    </w:rPr>
  </w:style>
  <w:style w:type="paragraph" w:customStyle="1" w:styleId="ModelerNormal">
    <w:name w:val="ModelerNormal"/>
    <w:basedOn w:val="Normal"/>
    <w:qFormat/>
    <w:rsid w:val="00216656"/>
    <w:rPr>
      <w:rFonts w:ascii="Segoe UI Semilight" w:hAnsi="Segoe UI Semilight"/>
    </w:rPr>
  </w:style>
  <w:style w:type="paragraph" w:customStyle="1" w:styleId="bizHeadingBAS3">
    <w:name w:val="bizHeadingBAS3"/>
    <w:basedOn w:val="bizHeading3"/>
    <w:next w:val="Normal"/>
    <w:rsid w:val="00F11476"/>
    <w:pPr>
      <w:pBdr>
        <w:top w:val="none" w:sz="0" w:space="0" w:color="auto"/>
      </w:pBdr>
    </w:pPr>
    <w:rPr>
      <w:caps w:val="0"/>
      <w:sz w:val="20"/>
    </w:rPr>
  </w:style>
  <w:style w:type="paragraph" w:customStyle="1" w:styleId="bizHeadingBAS2">
    <w:name w:val="bizHeadingBAS2"/>
    <w:basedOn w:val="bizHeading2"/>
    <w:next w:val="Normal"/>
    <w:rsid w:val="00216656"/>
    <w:rPr>
      <w:sz w:val="24"/>
    </w:rPr>
  </w:style>
  <w:style w:type="paragraph" w:customStyle="1" w:styleId="bizHeadingBAS1">
    <w:name w:val="bizHeadingBAS1"/>
    <w:basedOn w:val="bizHeading1"/>
    <w:next w:val="Normal"/>
    <w:qFormat/>
    <w:rsid w:val="00216656"/>
    <w:pPr>
      <w:numPr>
        <w:ilvl w:val="0"/>
        <w:numId w:val="46"/>
      </w:numPr>
    </w:pPr>
    <w:rPr>
      <w:rFonts w:ascii="Segoe UI Semilight" w:hAnsi="Segoe UI Semilight"/>
    </w:rPr>
  </w:style>
  <w:style w:type="paragraph" w:customStyle="1" w:styleId="bizTitle">
    <w:name w:val="bizTitle"/>
    <w:basedOn w:val="Title"/>
    <w:next w:val="Title"/>
    <w:link w:val="bizTitleChar"/>
    <w:qFormat/>
    <w:rsid w:val="005A0321"/>
    <w:pPr>
      <w:jc w:val="right"/>
    </w:pPr>
    <w:rPr>
      <w:rFonts w:ascii="Segoe UI" w:hAnsi="Segoe UI"/>
      <w:color w:val="0081C6"/>
      <w:sz w:val="48"/>
    </w:rPr>
  </w:style>
  <w:style w:type="paragraph" w:customStyle="1" w:styleId="bizSubtitle">
    <w:name w:val="bizSubtitle"/>
    <w:basedOn w:val="Subtitle"/>
    <w:next w:val="Subtitle"/>
    <w:link w:val="bizSubtitleChar"/>
    <w:qFormat/>
    <w:rsid w:val="005A0321"/>
    <w:pPr>
      <w:jc w:val="right"/>
    </w:pPr>
    <w:rPr>
      <w:rFonts w:ascii="Segoe UI Semilight" w:hAnsi="Segoe UI Semilight"/>
      <w:color w:val="0081C6"/>
      <w:sz w:val="32"/>
    </w:rPr>
  </w:style>
  <w:style w:type="character" w:customStyle="1" w:styleId="BodyTextChar">
    <w:name w:val="Body Text Char"/>
    <w:link w:val="BodyText"/>
    <w:rsid w:val="004F1444"/>
    <w:rPr>
      <w:rFonts w:ascii="Verdana" w:hAnsi="Verdana"/>
      <w:bCs/>
      <w:lang w:eastAsia="es-ES"/>
    </w:rPr>
  </w:style>
  <w:style w:type="paragraph" w:customStyle="1" w:styleId="bizHeadingBAS11">
    <w:name w:val="bizHeadingBAS1_1"/>
    <w:basedOn w:val="bizHeadingBAS1"/>
    <w:next w:val="Normal"/>
    <w:qFormat/>
    <w:rsid w:val="004F1444"/>
    <w:pPr>
      <w:numPr>
        <w:ilvl w:val="0"/>
        <w:numId w:val="0"/>
      </w:numPr>
    </w:pPr>
  </w:style>
  <w:style w:type="paragraph" w:styleId="Title">
    <w:name w:val="Title"/>
    <w:basedOn w:val="Normal"/>
    <w:next w:val="Normal"/>
    <w:link w:val="TitleChar"/>
    <w:qFormat/>
    <w:rsid w:val="00216656"/>
    <w:pPr>
      <w:spacing w:before="240" w:after="60"/>
      <w:jc w:val="center"/>
      <w:outlineLvl w:val="0"/>
    </w:pPr>
    <w:rPr>
      <w:rFonts w:ascii="Segoe UI Semilight" w:hAnsi="Segoe UI Semilight" w:cs="Vrinda"/>
      <w:b/>
      <w:bCs/>
      <w:kern w:val="28"/>
      <w:sz w:val="32"/>
      <w:szCs w:val="32"/>
    </w:rPr>
  </w:style>
  <w:style w:type="character" w:customStyle="1" w:styleId="TitleChar">
    <w:name w:val="Title Char"/>
    <w:link w:val="Title"/>
    <w:rsid w:val="00216656"/>
    <w:rPr>
      <w:rFonts w:ascii="Segoe UI Semilight" w:hAnsi="Segoe UI Semilight" w:cs="Vrinda"/>
      <w:b/>
      <w:bCs/>
      <w:kern w:val="28"/>
      <w:sz w:val="32"/>
      <w:szCs w:val="32"/>
      <w:lang w:val="en-US" w:eastAsia="es-ES"/>
    </w:rPr>
  </w:style>
  <w:style w:type="character" w:customStyle="1" w:styleId="bizTitleChar">
    <w:name w:val="bizTitle Char"/>
    <w:link w:val="bizTitle"/>
    <w:rsid w:val="005A0321"/>
    <w:rPr>
      <w:rFonts w:ascii="Segoe UI" w:hAnsi="Segoe UI" w:cs="Vrinda"/>
      <w:b/>
      <w:bCs/>
      <w:color w:val="0081C6"/>
      <w:kern w:val="28"/>
      <w:sz w:val="48"/>
      <w:szCs w:val="32"/>
      <w:lang w:val="en-US" w:eastAsia="es-ES"/>
    </w:rPr>
  </w:style>
  <w:style w:type="paragraph" w:customStyle="1" w:styleId="BoldModelerNormal">
    <w:name w:val="BoldModelerNormal"/>
    <w:basedOn w:val="ModelerNormal"/>
    <w:next w:val="ModelerNormal"/>
    <w:qFormat/>
    <w:rsid w:val="003C45DE"/>
    <w:rPr>
      <w:b/>
    </w:rPr>
  </w:style>
  <w:style w:type="paragraph" w:styleId="Subtitle">
    <w:name w:val="Subtitle"/>
    <w:basedOn w:val="Normal"/>
    <w:next w:val="Normal"/>
    <w:link w:val="SubtitleChar"/>
    <w:qFormat/>
    <w:rsid w:val="00100479"/>
    <w:pPr>
      <w:spacing w:after="60"/>
      <w:jc w:val="center"/>
      <w:outlineLvl w:val="1"/>
    </w:pPr>
    <w:rPr>
      <w:rFonts w:ascii="Cambria" w:eastAsia="Times New Roman" w:hAnsi="Cambria" w:cs="Vrinda"/>
      <w:sz w:val="24"/>
      <w:szCs w:val="24"/>
    </w:rPr>
  </w:style>
  <w:style w:type="character" w:customStyle="1" w:styleId="SubtitleChar">
    <w:name w:val="Subtitle Char"/>
    <w:link w:val="Subtitle"/>
    <w:rsid w:val="00100479"/>
    <w:rPr>
      <w:rFonts w:ascii="Cambria" w:eastAsia="Times New Roman" w:hAnsi="Cambria" w:cs="Vrinda"/>
      <w:sz w:val="24"/>
      <w:szCs w:val="24"/>
      <w:lang w:val="en-US" w:eastAsia="es-ES" w:bidi="ar-SA"/>
    </w:rPr>
  </w:style>
  <w:style w:type="character" w:customStyle="1" w:styleId="bizSubtitleChar">
    <w:name w:val="bizSubtitle Char"/>
    <w:link w:val="bizSubtitle"/>
    <w:rsid w:val="005A0321"/>
    <w:rPr>
      <w:rFonts w:ascii="Segoe UI Semilight" w:hAnsi="Segoe UI Semilight" w:cs="Vrinda"/>
      <w:color w:val="0081C6"/>
      <w:sz w:val="32"/>
      <w:szCs w:val="24"/>
      <w:lang w:val="en-US" w:eastAsia="es-ES"/>
    </w:rPr>
  </w:style>
  <w:style w:type="paragraph" w:styleId="TOC4">
    <w:name w:val="toc 4"/>
    <w:basedOn w:val="Normal"/>
    <w:next w:val="Normal"/>
    <w:autoRedefine/>
    <w:rsid w:val="00805BCE"/>
    <w:pPr>
      <w:ind w:left="720"/>
    </w:pPr>
  </w:style>
</w:styles>
</file>

<file path=word/webSettings.xml><?xml version="1.0" encoding="utf-8"?>
<w:webSettings xmlns:r="http://schemas.openxmlformats.org/officeDocument/2006/relationships" xmlns:w="http://schemas.openxmlformats.org/wordprocessingml/2006/main">
  <w:encoding w:val="windows-1252"/>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4.png" /><Relationship Id="rId11" Type="http://schemas.openxmlformats.org/officeDocument/2006/relationships/image" Target="media/image5.png" /><Relationship Id="rId12" Type="http://schemas.openxmlformats.org/officeDocument/2006/relationships/image" Target="media/image6.emf"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image" Target="media/image1.png" /><Relationship Id="rId8" Type="http://schemas.openxmlformats.org/officeDocument/2006/relationships/image" Target="media/image2.png" /><Relationship Id="rId9" Type="http://schemas.openxmlformats.org/officeDocument/2006/relationships/image" Target="media/image3.png" /></Relationships>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89EFD2-4B14-49F4-A27B-B3F3661A7F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ModelerTemplate.dot</Template>
  <TotalTime>0</TotalTime>
  <Pages>13</Pages>
  <Words>0</Words>
  <Characters>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03598064225</dc:creator>
  <cp:lastModifiedBy>03598064225</cp:lastModifiedBy>
  <cp:revision>1</cp:revision>
  <dcterms:created xsi:type="dcterms:W3CDTF">2018-07-11T18:32:00Z</dcterms:created>
  <dcterms:modified xsi:type="dcterms:W3CDTF">2018-07-11T18:33:00Z</dcterms:modified>
</cp:coreProperties>
</file>