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8D2D31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izTitle"/>
        <w:jc w:val="right"/>
      </w:pPr>
      <w:bookmarkStart w:id="0" w:name="_Toc256000000"/>
      <w:r>
        <w:t>Redesenhos dos fluxos de tratamento e distribuição da bolsas de hemocomponentes (ciclo do sangue) 2.0</w:t>
      </w:r>
      <w:bookmarkEnd w:id="0"/>
    </w:p>
    <w:p w:rsidR="00216656" w:rsidP="002D61C1">
      <w:pPr>
        <w:pStyle w:val="bizSubtitle"/>
        <w:jc w:val="right"/>
      </w:pPr>
      <w:bookmarkStart w:id="1" w:name="_Toc256000001"/>
      <w:r>
        <w:t>Bizagi Modeler</w:t>
      </w:r>
      <w:bookmarkEnd w:id="1"/>
    </w:p>
    <w:p w:rsidR="00216656">
      <w:pPr>
        <w:sectPr w:rsidSect="00B603BE">
          <w:headerReference w:type="default" r:id="rId5"/>
          <w:footerReference w:type="default" r:id="rId6"/>
          <w:pgSz w:w="12240" w:h="15840" w:code="1"/>
          <w:pgMar w:top="1616" w:right="1701" w:bottom="1418" w:left="1701" w:header="709" w:footer="255" w:gutter="0"/>
          <w:cols w:space="708"/>
          <w:titlePg/>
          <w:docGrid w:linePitch="360"/>
        </w:sectPr>
      </w:pPr>
      <w:r>
        <w:tab/>
      </w: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="00216656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="00216656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BE-Análises da Qualidade do Concentrado de Hemácias e Concentrado de Hemácias Filtradas- Capital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Análises da Qualidade do Concentrado de Hemácias e Concentrado de Hemácias Filtradas - Capital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left" w:pos="1320"/>
        </w:tabs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6882971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Verificar cronograma de análises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8126526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Recolher as bolsa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4743244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Distribuir bolsa para o Controle de Qualidade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0929827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Realizar procedimentos  na bolsa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2146062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Realizar inspeção visual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1502310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Retirar amostra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566416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Homogeneizar amostra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0835088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Realizar hemograma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7250140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 Realizar contagem no microscópio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794398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Centrifugar amostra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960384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 Realizar leitura no Bioplus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3237977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Armazenar bolsa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4531344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Resultados disponíveis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456391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Resultados disponíveis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1861739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12. Registrar resultado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2039509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13. Transferir amostra para mini-bolsa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21" w:history="1">
        <w:r>
          <w:rPr>
            <w:rStyle w:val="Hyperlink"/>
          </w:rPr>
          <w:t>1.1.1.17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7608495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14. Registrar amostras</w:t>
        </w:r>
        <w:r>
          <w:tab/>
        </w:r>
        <w:r>
          <w:fldChar w:fldCharType="begin"/>
        </w:r>
        <w:r>
          <w:instrText xml:space="preserve"> PAGEREF _Toc256000021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22" w:history="1">
        <w:r>
          <w:rPr>
            <w:rStyle w:val="Hyperlink"/>
          </w:rPr>
          <w:t>1.1.1.18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4214065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15. Encaminhar amostras para o LACEN</w:t>
        </w:r>
        <w:r>
          <w:tab/>
        </w:r>
        <w:r>
          <w:fldChar w:fldCharType="begin"/>
        </w:r>
        <w:r>
          <w:instrText xml:space="preserve"> PAGEREF _Toc256000022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23" w:history="1">
        <w:r>
          <w:rPr>
            <w:rStyle w:val="Hyperlink"/>
          </w:rPr>
          <w:t>1.1.1.19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7081755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14. Armazenar bolsa</w:t>
        </w:r>
        <w:r>
          <w:tab/>
        </w:r>
        <w:r>
          <w:fldChar w:fldCharType="begin"/>
        </w:r>
        <w:r>
          <w:instrText xml:space="preserve"> PAGEREF _Toc256000023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24" w:history="1">
        <w:r>
          <w:rPr>
            <w:rStyle w:val="Hyperlink"/>
          </w:rPr>
          <w:t>1.1.1.20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870951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16. Registrar resultado</w:t>
        </w:r>
        <w:r>
          <w:tab/>
        </w:r>
        <w:r>
          <w:fldChar w:fldCharType="begin"/>
        </w:r>
        <w:r>
          <w:instrText xml:space="preserve"> PAGEREF _Toc256000024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25" w:history="1">
        <w:r>
          <w:rPr>
            <w:rStyle w:val="Hyperlink"/>
          </w:rPr>
          <w:t>1.1.1.21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2775697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</w:t>
        </w:r>
        <w:r>
          <w:tab/>
        </w:r>
        <w:r>
          <w:fldChar w:fldCharType="begin"/>
        </w:r>
        <w:r>
          <w:instrText xml:space="preserve"> PAGEREF _Toc256000025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26" w:history="1">
        <w:r>
          <w:rPr>
            <w:rStyle w:val="Hyperlink"/>
          </w:rPr>
          <w:t>1.1.1.22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554514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Retornar</w:t>
        </w:r>
        <w:r>
          <w:tab/>
        </w:r>
        <w:r>
          <w:fldChar w:fldCharType="begin"/>
        </w:r>
        <w:r>
          <w:instrText xml:space="preserve"> PAGEREF _Toc256000026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27" w:history="1">
        <w:r>
          <w:rPr>
            <w:rStyle w:val="Hyperlink"/>
          </w:rPr>
          <w:t>1.1.1.23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8785446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Retornar</w:t>
        </w:r>
        <w:r>
          <w:tab/>
        </w:r>
        <w:r>
          <w:fldChar w:fldCharType="begin"/>
        </w:r>
        <w:r>
          <w:instrText xml:space="preserve"> PAGEREF _Toc256000027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28" w:history="1">
        <w:r>
          <w:rPr>
            <w:rStyle w:val="Hyperlink"/>
          </w:rPr>
          <w:t>1.1.1.24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3241682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17. Retornar bolsa para o Processamento</w:t>
        </w:r>
        <w:r>
          <w:tab/>
        </w:r>
        <w:r>
          <w:fldChar w:fldCharType="begin"/>
        </w:r>
        <w:r>
          <w:instrText xml:space="preserve"> PAGEREF _Toc256000028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29" w:history="1">
        <w:r>
          <w:rPr>
            <w:rStyle w:val="Hyperlink"/>
          </w:rPr>
          <w:t>1.1.1.25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7946781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 18. Assinar resultados dos exames</w:t>
        </w:r>
        <w:r>
          <w:tab/>
        </w:r>
        <w:r>
          <w:fldChar w:fldCharType="begin"/>
        </w:r>
        <w:r>
          <w:instrText xml:space="preserve"> PAGEREF _Toc256000029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30" w:history="1">
        <w:r>
          <w:rPr>
            <w:rStyle w:val="Hyperlink"/>
          </w:rPr>
          <w:t>1.1.1.26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2010856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Disponibilizar prévia</w:t>
        </w:r>
        <w:r>
          <w:tab/>
        </w:r>
        <w:r>
          <w:fldChar w:fldCharType="begin"/>
        </w:r>
        <w:r>
          <w:instrText xml:space="preserve"> PAGEREF _Toc256000030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31" w:history="1">
        <w:r>
          <w:rPr>
            <w:rStyle w:val="Hyperlink"/>
          </w:rPr>
          <w:t>1.1.1.27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1931039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Disponibilizar prévia</w:t>
        </w:r>
        <w:r>
          <w:tab/>
        </w:r>
        <w:r>
          <w:fldChar w:fldCharType="begin"/>
        </w:r>
        <w:r>
          <w:instrText xml:space="preserve"> PAGEREF _Toc256000031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32" w:history="1">
        <w:r>
          <w:rPr>
            <w:rStyle w:val="Hyperlink"/>
          </w:rPr>
          <w:t>1.1.1.28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5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0445648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18. Dar aceite de recebimento da bolsa</w:t>
        </w:r>
        <w:r>
          <w:tab/>
        </w:r>
        <w:r>
          <w:fldChar w:fldCharType="begin"/>
        </w:r>
        <w:r>
          <w:instrText xml:space="preserve"> PAGEREF _Toc256000032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33" w:history="1">
        <w:r>
          <w:rPr>
            <w:rStyle w:val="Hyperlink"/>
          </w:rPr>
          <w:t>1.1.1.29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5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6978033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</w:t>
        </w:r>
        <w:r>
          <w:tab/>
        </w:r>
        <w:r>
          <w:fldChar w:fldCharType="begin"/>
        </w:r>
        <w:r>
          <w:instrText xml:space="preserve"> PAGEREF _Toc256000033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34" w:history="1">
        <w:r>
          <w:rPr>
            <w:rStyle w:val="Hyperlink"/>
          </w:rPr>
          <w:t>1.1.1.30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5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2611875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Registrar expurgo</w:t>
        </w:r>
        <w:r>
          <w:tab/>
        </w:r>
        <w:r>
          <w:fldChar w:fldCharType="begin"/>
        </w:r>
        <w:r>
          <w:instrText xml:space="preserve"> PAGEREF _Toc256000034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35" w:history="1">
        <w:r>
          <w:rPr>
            <w:rStyle w:val="Hyperlink"/>
          </w:rPr>
          <w:t>1.1.1.31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5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3470122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</w:t>
        </w:r>
        <w:r>
          <w:tab/>
        </w:r>
        <w:r>
          <w:fldChar w:fldCharType="begin"/>
        </w:r>
        <w:r>
          <w:instrText xml:space="preserve"> PAGEREF _Toc256000035 \h </w:instrText>
        </w:r>
        <w:r>
          <w:fldChar w:fldCharType="separate"/>
        </w:r>
        <w:r>
          <w:t>33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bfeda12b9659494f99c85507e225ca00"/>
      <w:bookmarkStart w:id="3" w:name="_Toc256000002"/>
      <w:r>
        <w:t>TO BE-Análises da Qualidade do Concentrado de Hemácias e Concentrado de Hemácias Filtradas- Capital</w:t>
      </w:r>
      <w:bookmarkEnd w:id="3"/>
    </w:p>
    <w:p>
      <w:pPr>
        <w:jc w:val="center"/>
      </w:pPr>
      <w:bookmarkEnd w:id="2"/>
      <w:r>
        <w:drawing>
          <wp:inline>
            <wp:extent cx="7898130" cy="3909070"/>
            <wp:docPr id="10000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11226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390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Esse processo tem como escopo o redesenho do processo </w:t>
      </w:r>
      <w:r>
        <w:t>Análises da Qualidade dos Hemocomponentes Concentrado de Hemácias (CH) e Concentrado de Hemácias Filtradas (CHF) - Capital</w:t>
      </w:r>
      <w:r>
        <w:t>, desde a necessidade de realização das análises pelo Controle de Qualidade até a disponibilização dos resultados via sistema SIHRO e das bolsas aprovadas para o Processamento.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bookmarkStart w:id="5" w:name="_dx_frag_EndFragment"/>
      <w:bookmarkEnd w:id="5"/>
      <w:r>
        <w:t> 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Thaís Roca - Analista de Processo</w:t>
      </w:r>
      <w:r>
        <w:t>s</w:t>
      </w:r>
      <w:r>
        <w:br/>
      </w:r>
      <w:r>
        <w:t>Geciele Gonçalves  - Analista de Processos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Antônio Marcos - Biomédico responsável pelo setor de Controle de Qualidade da FHEMERON</w:t>
      </w:r>
      <w:r>
        <w:br/>
      </w:r>
      <w:r>
        <w:t>Thiago Brasil - Téc. em Laboratório pelo setor de Controle de Qualidade da FHEMERON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</w:t>
      </w:r>
      <w:r>
        <w:t xml:space="preserve"> </w:t>
      </w:r>
      <w:r>
        <w:t>- Gerente de Processos</w:t>
      </w:r>
      <w:r>
        <w:br/>
      </w:r>
      <w:r>
        <w:t>Antônio Marcos -</w:t>
      </w:r>
      <w:r>
        <w:t xml:space="preserve"> Dono do Processo</w:t>
      </w:r>
      <w:r>
        <w:br/>
      </w:r>
      <w:r>
        <w:t>Ádila Pires</w:t>
      </w:r>
      <w:r>
        <w:t xml:space="preserve"> - </w:t>
      </w:r>
      <w:r>
        <w:t>Dona do Produto</w:t>
      </w:r>
      <w:r>
        <w:t> </w:t>
      </w:r>
    </w:p>
    <w:p>
      <w:pPr>
        <w:pStyle w:val="BoldModelerNormal"/>
      </w:pPr>
      <w:r>
        <w:t>VERSIONAMENTO</w:t>
      </w:r>
    </w:p>
    <w:tbl>
      <w:tblPr>
        <w:tblW w:w="5000" w:type="pct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889"/>
        <w:gridCol w:w="1040"/>
        <w:gridCol w:w="1979"/>
        <w:gridCol w:w="4884"/>
      </w:tblGrid>
      <w:tr>
        <w:tblPrEx>
          <w:tblW w:w="5000" w:type="pct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0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W w:w="163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W w:w="26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W w:w="775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0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W w:w="163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22/06/2022</w:t>
            </w:r>
          </w:p>
        </w:tc>
        <w:tc>
          <w:tcPr>
            <w:tcW w:w="26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  <w:r>
              <w:t>;</w:t>
            </w:r>
          </w:p>
          <w:p>
            <w:pPr>
              <w:pStyle w:val="ModelerNormal"/>
              <w:spacing w:afterAutospacing="1"/>
            </w:pPr>
            <w:r>
              <w:t>Geciele Gonçalves.</w:t>
            </w:r>
          </w:p>
        </w:tc>
        <w:tc>
          <w:tcPr>
            <w:tcW w:w="775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0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2.0</w:t>
            </w:r>
          </w:p>
        </w:tc>
        <w:tc>
          <w:tcPr>
            <w:tcW w:w="163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09/02/2023</w:t>
            </w:r>
          </w:p>
        </w:tc>
        <w:tc>
          <w:tcPr>
            <w:tcW w:w="26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Roca;</w:t>
            </w:r>
          </w:p>
          <w:p>
            <w:pPr>
              <w:pStyle w:val="ModelerNormal"/>
              <w:spacing w:afterAutospacing="1"/>
            </w:pPr>
            <w:r>
              <w:t>Crislâny Andrade.</w:t>
            </w:r>
          </w:p>
        </w:tc>
        <w:tc>
          <w:tcPr>
            <w:tcW w:w="775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0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2.1</w:t>
            </w:r>
          </w:p>
        </w:tc>
        <w:tc>
          <w:tcPr>
            <w:tcW w:w="163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25/05/2023</w:t>
            </w:r>
          </w:p>
        </w:tc>
        <w:tc>
          <w:tcPr>
            <w:tcW w:w="26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Thaaís Roca</w:t>
            </w:r>
          </w:p>
        </w:tc>
        <w:tc>
          <w:tcPr>
            <w:tcW w:w="775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28f9dcd324894852acf1d1d975d892b7"/>
      <w:r>
        <w:t> </w:t>
      </w:r>
      <w:bookmarkStart w:id="7" w:name="_Toc256000003"/>
      <w:r>
        <w:t>Análises da Qualidade do Concentrado de Hemácias e Concentrado de Hemácias Filtradas - Capital</w:t>
      </w:r>
      <w:bookmarkEnd w:id="7"/>
      <w:r>
        <w:t>  </w:t>
      </w:r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43170445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87671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Verificar cronograma de análises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 xml:space="preserve">O que: </w:t>
      </w:r>
      <w:r>
        <w:t>Verificar disponibilidade de bolsas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 com login e senha;</w:t>
      </w:r>
      <w:r>
        <w:br/>
      </w:r>
      <w:r>
        <w:t xml:space="preserve">Tarefa 2: </w:t>
      </w:r>
      <w:r>
        <w:t>Selecionar</w:t>
      </w:r>
      <w:r>
        <w:t xml:space="preserve"> </w:t>
      </w:r>
      <w:r>
        <w:t>a aba "análise da qualidade dos hemocomponentes" e clicar na opção analisar CH e/ou CHF;</w:t>
      </w:r>
      <w:r>
        <w:br/>
      </w:r>
      <w:r>
        <w:t xml:space="preserve">Tarefa 3: </w:t>
      </w:r>
      <w:r>
        <w:t>Verificar no sistema SIHRO quando devem apanhar as bolsas de CH ou CHF para realizar as análises;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 xml:space="preserve">O Controle de Qualidade conseguirá verificar ao longo do mês, no sistema SIHRO, a quantidade de análises realizadas e em quais tipos de hemocomponentes foram realizadas. </w:t>
      </w:r>
      <w:r>
        <w:br/>
      </w:r>
      <w:r>
        <w:t xml:space="preserve">2 - </w:t>
      </w:r>
      <w:r>
        <w:t>A quantidade de bolsas analisadas totalizará 10 unidades a cada mês.</w:t>
      </w:r>
      <w:r>
        <w:br/>
      </w:r>
      <w:r>
        <w:t xml:space="preserve">Tarefa 4: </w:t>
      </w:r>
      <w:r>
        <w:t>Pesquisar no sistema SIHRO o estoque de bolsas disponíveis registradas pelo Processamento;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1 - </w:t>
      </w:r>
      <w:r>
        <w:t>O Controle de Qualidade terá acesso, via sistema SIHRO, ao estoque de bolsas registradas pelo Processamento. Ao</w:t>
      </w:r>
      <w:r>
        <w:t xml:space="preserve"> acessar o estoque, conseguirá filtrar as bolsas registradas, por data e por tipo de hemocomponentes.</w:t>
      </w:r>
    </w:p>
    <w:p>
      <w:pPr>
        <w:pStyle w:val="ModelerNormal"/>
        <w:spacing w:afterAutospacing="1"/>
      </w:pPr>
      <w:r>
        <w:t xml:space="preserve">Tarefa 5: </w:t>
      </w:r>
      <w:r>
        <w:t>Deslocar-se até o setor de Processamento</w:t>
      </w:r>
      <w:r>
        <w:t xml:space="preserve"> para apanhar as bolsas de CH e/ou CHF que serão analisadas.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1 - </w:t>
      </w:r>
      <w:r>
        <w:t xml:space="preserve">Após pesquisar no sistema SIHRO e confirmar a disponibilidade de bolsas no estoque do Processamento. </w:t>
      </w:r>
    </w:p>
    <w:p>
      <w:pPr>
        <w:pStyle w:val="ModelerNormal"/>
        <w:spacing w:afterAutospacing="1"/>
      </w:pPr>
      <w:r>
        <w:t>Por que essa atividade acontece? </w:t>
      </w:r>
      <w:r>
        <w:br/>
      </w:r>
      <w:r>
        <w:t>Essa atividade acontece porque é necessário verificar quando vão apanhar as bolsas de CH e/ou CHF, visto que é necessário alcançar a quantidade de 10 bolsas de cada hemocomponente analisadas ao fim do mês.</w:t>
      </w:r>
    </w:p>
    <w:p>
      <w:pPr>
        <w:pStyle w:val="ModelerNormal"/>
        <w:spacing w:afterAutospacing="1"/>
      </w:pPr>
      <w:r>
        <w:t>                                                 </w:t>
      </w:r>
      <w:r>
        <w:t>PORTARIA Nº 158, DE 4 DE FEVEREIRO DE 2016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Art. 116. Os serviços de hemoterapia realizarão o controle de qualidade sistemático de todos os tipos de componentes sanguíneos que produzirem.</w:t>
      </w:r>
      <w:r>
        <w:br/>
      </w:r>
      <w:r>
        <w:t>§ 6º A avaliação da contaminação microbiológica dos componentes sanguíneos celulares será realizada utilizando-se amostragem igual ou superior a 1% da produção ou 10 (dez) unidades por mês, o que for maior.</w:t>
      </w:r>
      <w:r>
        <w:br/>
      </w:r>
      <w:r>
        <w:t>§ 7º Na hipótese do § 6º, todos os casos positivos devem ser devidamente investigados na busca de uma causa corrigível.</w:t>
      </w:r>
      <w:r>
        <w:br/>
      </w:r>
      <w:r>
        <w:t>Art. 117. Os serviços de hemoterapia realizarão avaliações periódicas dos resultados do controle de qualidade, de forma que tais resultados sejam revisados e analisados, e ações corretivas sejam propostas para as não conformidades observadas.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150093842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12297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Recolher as bolsa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 xml:space="preserve">O que: </w:t>
      </w:r>
      <w:r>
        <w:t>Recolher as bolsas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Recolher as bolsas de CH e/ou CHF estão no estoque do Processamento;</w:t>
      </w:r>
      <w:r>
        <w:br/>
      </w:r>
      <w:r>
        <w:t xml:space="preserve">Tarefa 2: </w:t>
      </w:r>
      <w:r>
        <w:t>Medir a temperatura da bolsa de CH e/ou CHF;</w:t>
      </w:r>
      <w:r>
        <w:br/>
      </w:r>
      <w:r>
        <w:t xml:space="preserve">Tarefa 3: </w:t>
      </w:r>
      <w:r>
        <w:t>Verificar se a temperatura da bolsa está de 2°C a 6°C;</w:t>
      </w:r>
    </w:p>
    <w:p>
      <w:pPr>
        <w:pStyle w:val="ModelerNormal"/>
        <w:spacing w:afterAutospacing="1"/>
      </w:pPr>
      <w:r>
        <w:t>Observações: </w:t>
      </w:r>
      <w:r>
        <w:br/>
      </w:r>
      <w:r>
        <w:t>1 -</w:t>
      </w:r>
      <w:r>
        <w:t xml:space="preserve"> Caso a temperatura da bolsa esteja fora do valor de referência (2°C a 6°C), a bolsa será examinada normalmente;</w:t>
      </w:r>
      <w:r>
        <w:br/>
      </w:r>
      <w:r>
        <w:t xml:space="preserve">2 - </w:t>
      </w:r>
      <w:r>
        <w:t>A temperatura será registrada no sistema SIHRO quando o técnico do Controle de Qualidade for realizar a distribuição das bolsas para seu setor.</w:t>
      </w:r>
    </w:p>
    <w:p>
      <w:pPr>
        <w:pStyle w:val="ModelerNormal"/>
        <w:spacing w:afterAutospacing="1"/>
      </w:pPr>
      <w:r>
        <w:t>Por que essa atividade acontece? </w:t>
      </w:r>
      <w:r>
        <w:br/>
      </w:r>
      <w:r>
        <w:t>Essa atividade acontece porque é necessário que as bolsas sejam recolhidas do estoque no setor de Processamento para posterior distribuição no sistema SIHRO para o setor de Controle de Qualidade.</w:t>
      </w:r>
      <w:r>
        <w:t> </w:t>
      </w:r>
      <w:r>
        <w:br/>
      </w:r>
      <w:r>
        <w:t> </w:t>
      </w:r>
    </w:p>
    <w:p>
      <w:pPr>
        <w:pStyle w:val="ModelerNormal"/>
        <w:spacing w:afterAutospacing="1"/>
      </w:pPr>
      <w:r>
        <w:t>RESOLUÇÃO - RDC N° 34, DE 11 DE JUNHO DE 2014 </w:t>
      </w:r>
    </w:p>
    <w:p>
      <w:pPr>
        <w:pStyle w:val="ModelerNormal"/>
        <w:spacing w:afterAutospacing="1"/>
      </w:pPr>
      <w:r>
        <w:t>                                        </w:t>
      </w:r>
      <w:r>
        <w:t>                                 Dispõe sobre as Boas Práticas no Ciclo do Sangue.</w:t>
      </w:r>
    </w:p>
    <w:p>
      <w:pPr>
        <w:pStyle w:val="ModelerNormal"/>
        <w:spacing w:afterAutospacing="1"/>
      </w:pPr>
      <w:r>
        <w:drawing>
          <wp:inline>
            <wp:extent cx="4495800" cy="638175"/>
            <wp:docPr id="10000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28019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55930344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04199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Distribuir bolsa para o Controle de Qualidade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Distribuir bolsa para o Controle de Qualidade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Abrir o sistema SIHRO com login e senha;</w:t>
      </w:r>
      <w:r>
        <w:br/>
      </w:r>
      <w:r>
        <w:t xml:space="preserve">Tarefa 2: </w:t>
      </w:r>
      <w:r>
        <w:t xml:space="preserve">Selecionar a opção distribuição "irá abrir a página de distribuição de hemocomponente para Controle de Qualidade"; </w:t>
      </w:r>
      <w:r>
        <w:br/>
      </w:r>
      <w:r>
        <w:t xml:space="preserve">Tarefa 3: </w:t>
      </w:r>
      <w:r>
        <w:t>Preencher as informações solicitadas (Destino da bolsa, data da distribuição, número da bolsa, hemocomponente que será distribuído e temperatura);</w:t>
      </w:r>
      <w:r>
        <w:br/>
      </w:r>
      <w:r>
        <w:t xml:space="preserve">Tarefa 4: </w:t>
      </w:r>
      <w:r>
        <w:t>Distribuir as bolsas no sistema SIHRO;</w:t>
      </w:r>
      <w:r>
        <w:br/>
      </w:r>
      <w:r>
        <w:t>Observações: </w:t>
      </w:r>
      <w:r>
        <w:br/>
      </w:r>
      <w:r>
        <w:t xml:space="preserve">1 - </w:t>
      </w:r>
      <w:r>
        <w:t>Ao distribuir as bolsas, o sistema SIHRO informará a data da distribuição automaticamente;</w:t>
      </w:r>
      <w:r>
        <w:br/>
      </w:r>
      <w:r>
        <w:t xml:space="preserve">2 - </w:t>
      </w:r>
      <w:r>
        <w:t>O sistema SIHRO terá a opção de imprimir e gerar PDF da relação das bolsas que forem distribuídas no sistema.</w:t>
      </w:r>
      <w:r>
        <w:br/>
      </w:r>
      <w:r>
        <w:t>Tarefa 5:</w:t>
      </w:r>
      <w:r>
        <w:t> Apertar Ok para salvar as informações</w:t>
      </w:r>
      <w:r>
        <w:t>;</w:t>
      </w:r>
      <w:r>
        <w:br/>
      </w:r>
      <w:r>
        <w:t>Ponto de atenção: Após salvar as informações, o sistema SIHRO irá enviar uma mensagem para o destinatário (alerta de bolsa disponível) solicitando o aceite no sistema. A mensagem deverá conter todas as informações das bolsas de hemocomponentes que estão sendo disponibilizadas.</w:t>
      </w:r>
      <w:r>
        <w:br/>
      </w:r>
      <w:r>
        <w:t>Tarefa 6</w:t>
      </w:r>
      <w:r>
        <w:t>: Transportar as bolsas de CH e/ou CHF até o setor de Controle de Qualidade.</w:t>
      </w:r>
      <w:r>
        <w:br/>
      </w:r>
      <w:r>
        <w:br/>
      </w:r>
      <w:r>
        <w:t>Por que essa atividade acontece? </w:t>
      </w:r>
      <w:r>
        <w:br/>
      </w:r>
      <w:r>
        <w:t>Essa atividade acontece porque é necessário que as bolsas sejam registradas para fins de rastreabilidade e transportadas para o setor de Controle de Qualidade, onde esses componentes transportados passarão por análises.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8289128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37386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Realizar procedimentos  na bolsa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>O que:</w:t>
      </w:r>
      <w:r>
        <w:t xml:space="preserve"> </w:t>
      </w:r>
      <w:r>
        <w:t>Realizar procedimentos  na bolsa</w:t>
      </w:r>
      <w:r>
        <w:br/>
      </w:r>
      <w:r>
        <w:br/>
      </w:r>
      <w:r>
        <w:t>Quando:</w:t>
      </w:r>
      <w:r>
        <w:br/>
      </w:r>
      <w:r>
        <w:br/>
      </w:r>
      <w:r>
        <w:t>Como: </w:t>
      </w:r>
      <w:r>
        <w:br/>
      </w:r>
      <w:r>
        <w:t xml:space="preserve">Tarefa 1: </w:t>
      </w:r>
      <w:r>
        <w:t>Realizar a pesagem das bolsas de CH e/ou CHF descongeladas que foram transportadas para o Controle de Qualidade;</w:t>
      </w:r>
      <w:r>
        <w:br/>
      </w:r>
      <w:r>
        <w:t>Observações:</w:t>
      </w:r>
      <w:r>
        <w:br/>
      </w:r>
      <w:r>
        <w:t>1 -</w:t>
      </w:r>
      <w:r>
        <w:t xml:space="preserve"> O peso é dado em gramas, e o sistema SIHRO realizá o cálculo de conversão para grandeza mililitro (ml) posteriormente, quando o registro do resultado for feito;</w:t>
      </w:r>
      <w:r>
        <w:br/>
      </w:r>
      <w:r>
        <w:t>2 -</w:t>
      </w:r>
      <w:r>
        <w:t xml:space="preserve"> A bolsa deve ter um volume aproximado de 220 ml a 320 ml.</w:t>
      </w:r>
      <w:r>
        <w:t> </w:t>
      </w:r>
      <w:r>
        <w:br/>
      </w:r>
      <w:r>
        <w:t xml:space="preserve">3 - </w:t>
      </w:r>
      <w:r>
        <w:t>Caso o volume da bolsa esteja fora do valor de referência (220 ml a 320 ml), o sistema SIHRO emitirá um alerta (o campo registrado ficará em vermelho);</w:t>
      </w:r>
      <w:r>
        <w:br/>
      </w:r>
      <w:r>
        <w:t>Tarefa 2:</w:t>
      </w:r>
      <w:r>
        <w:t xml:space="preserve"> Aguardar o aumento da temperatura da bolsa;</w:t>
      </w:r>
      <w:r>
        <w:br/>
      </w:r>
      <w:r>
        <w:t xml:space="preserve">Observação: </w:t>
      </w:r>
      <w:r>
        <w:br/>
      </w:r>
      <w:r>
        <w:t xml:space="preserve">1 - </w:t>
      </w:r>
      <w:r>
        <w:t>A bolsa irá descansar de 20 a 30 minutos para alcançar a temperatura ambiente.</w:t>
      </w:r>
      <w:r>
        <w:br/>
      </w:r>
      <w:r>
        <w:t>Tarefa 3:</w:t>
      </w:r>
      <w:r>
        <w:t xml:space="preserve"> Utilizar alicate para “espaguetar” o segmento da bolsa de CH e/ou CHF, a fim de  homogeneizar o componente sanguíneo e obter uma amostra mais autêntica desta bolsa; 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1 - </w:t>
      </w:r>
      <w:r>
        <w:t>Esse processo é realizado de 3 a 5 vezes a fim de  homogeneizar o componente sanguíneo e obter uma amostra mais autêntica desta bolsa.</w:t>
      </w:r>
      <w:r>
        <w:br/>
      </w:r>
      <w:r>
        <w:t xml:space="preserve">Tarefa 4: </w:t>
      </w:r>
      <w:r>
        <w:t>Anotar em papel avulso o peso da bolsa para posterior registro no sistema SIHRO.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 xml:space="preserve">1 - </w:t>
      </w:r>
      <w:r>
        <w:t>O registro no sistema será feito após a realização das análises.</w:t>
      </w:r>
    </w:p>
    <w:p>
      <w:pPr>
        <w:pStyle w:val="ModelerNormal"/>
        <w:spacing w:afterAutospacing="1"/>
      </w:pPr>
      <w:r>
        <w:t>Por que essa atividade acontece?</w:t>
      </w:r>
      <w:r>
        <w:br/>
      </w:r>
      <w:r>
        <w:t>Essa atividade acontece porque é necessário realizar os procedimentos de pesagem da bolsa para comparar com o peso já registrado na etiqueta da mesma e aguardar o aumento da temperatura para análise e espaguetamento do segmento para homogeneização dos componentes sanguíneos. </w:t>
      </w:r>
      <w:r>
        <w:t xml:space="preserve"> </w:t>
      </w:r>
      <w:r>
        <w:t> </w:t>
      </w:r>
      <w:r>
        <w:t xml:space="preserve"> </w:t>
      </w:r>
      <w:r>
        <w:t> </w:t>
      </w:r>
    </w:p>
    <w:p>
      <w:pPr>
        <w:pStyle w:val="ModelerNormal"/>
        <w:spacing w:afterAutospacing="1"/>
      </w:pPr>
      <w:r>
        <w:t>                                       RESOLUÇÃO - RDC N° 34, DE 11 DE JUNHO DE 2014 </w:t>
      </w:r>
    </w:p>
    <w:p>
      <w:pPr>
        <w:pStyle w:val="ModelerNormal"/>
        <w:spacing w:afterAutospacing="1"/>
      </w:pPr>
      <w:r>
        <w:t>Dispõe sobre as Boas Práticas no Ciclo do Sangue.</w:t>
      </w:r>
    </w:p>
    <w:p>
      <w:pPr>
        <w:pStyle w:val="ModelerNormal"/>
        <w:spacing w:afterAutospacing="1"/>
      </w:pPr>
      <w:r>
        <w:t xml:space="preserve">MÓDULO IV </w:t>
      </w:r>
    </w:p>
    <w:p>
      <w:pPr>
        <w:pStyle w:val="ModelerNormal"/>
        <w:spacing w:afterAutospacing="1"/>
      </w:pPr>
      <w:r>
        <w:t xml:space="preserve">PROCESSAMENTO, ROTULAGEM, ARMAZENAMENTO E DISTRIBUIÇÃO </w:t>
      </w:r>
    </w:p>
    <w:p>
      <w:pPr>
        <w:pStyle w:val="ModelerNormal"/>
        <w:spacing w:afterAutospacing="1"/>
      </w:pPr>
      <w:r>
        <w:drawing>
          <wp:inline>
            <wp:extent cx="5105400" cy="704850"/>
            <wp:docPr id="10000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731332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</w:t>
      </w:r>
      <w:r>
        <w:br/>
      </w: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5713124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01708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Realizar inspeção visual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>O que: </w:t>
      </w:r>
      <w:r>
        <w:t>Realizar inspeção visual</w:t>
      </w:r>
      <w:r>
        <w:t> 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</w:t>
      </w:r>
      <w:r>
        <w:t>: Realizar inspeção visual para verificar se a bolsa de CH e/ou CHF apresenta:</w:t>
      </w:r>
      <w:r>
        <w:br/>
      </w:r>
      <w:r>
        <w:t>· Presença de grumos</w:t>
      </w:r>
    </w:p>
    <w:p>
      <w:pPr>
        <w:pStyle w:val="ModelerNormal"/>
        <w:spacing w:afterAutospacing="1"/>
      </w:pPr>
      <w:r>
        <w:t>· Presença de vazamento</w:t>
      </w:r>
    </w:p>
    <w:p>
      <w:pPr>
        <w:pStyle w:val="ModelerNormal"/>
        <w:spacing w:afterAutospacing="1"/>
      </w:pPr>
      <w:r>
        <w:t>· Alteração de cor</w:t>
      </w:r>
    </w:p>
    <w:p>
      <w:pPr>
        <w:pStyle w:val="ModelerNormal"/>
        <w:spacing w:afterAutospacing="1"/>
      </w:pPr>
      <w:r>
        <w:t>· Lipemia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Caso apresente coágulos e/ou vazamento, a bolsa será descartada imediatamente e o técnico registrará o expurgo no sistema SIHRO;</w:t>
      </w:r>
      <w:r>
        <w:t>  </w:t>
      </w:r>
      <w:r>
        <w:br/>
      </w:r>
      <w:r>
        <w:t xml:space="preserve">2 - </w:t>
      </w:r>
      <w:r>
        <w:t>No caso de apresentar lipemia e/ou alteração de cor a bolsa será examinada normalmente;</w:t>
      </w:r>
      <w:r>
        <w:br/>
      </w:r>
      <w:r>
        <w:br/>
      </w:r>
      <w:r>
        <w:t>Por que essa atividade acontece? </w:t>
      </w:r>
      <w:r>
        <w:br/>
      </w:r>
      <w:r>
        <w:t>Essa atividade acontece porque é necessário verificar se a bolsa apresenta alguma das alterações citada acima.</w:t>
      </w:r>
      <w:r>
        <w:t> 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65857936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01349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Retirar amostra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 xml:space="preserve">O que: </w:t>
      </w:r>
      <w:r>
        <w:t>Retirar amostra da bolsa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Retirar a amostra do segmento da bolsa de CH e/ou CHF;</w:t>
      </w:r>
    </w:p>
    <w:p>
      <w:pPr>
        <w:pStyle w:val="ModelerNormal"/>
        <w:spacing w:afterAutospacing="1"/>
      </w:pPr>
      <w:r>
        <w:t xml:space="preserve">Observação: </w:t>
      </w:r>
      <w:r>
        <w:br/>
      </w:r>
      <w:r>
        <w:t xml:space="preserve">1 - </w:t>
      </w:r>
      <w:r>
        <w:t xml:space="preserve">É retirado o segmento com amostra para realizar exame de hemograma, e a bolsa de CH e/ou CHF é armazenada na câmara fria até que o resultado do exame esteja disponível. </w:t>
      </w:r>
    </w:p>
    <w:p>
      <w:pPr>
        <w:pStyle w:val="ModelerNormal"/>
        <w:spacing w:afterAutospacing="1"/>
      </w:pPr>
      <w:r>
        <w:t>Por que essa atividade acontece? </w:t>
      </w:r>
    </w:p>
    <w:p>
      <w:pPr>
        <w:pStyle w:val="ModelerNormal"/>
        <w:spacing w:afterAutospacing="1"/>
      </w:pPr>
      <w:r>
        <w:t>Essa atividade acontece porque é necessário retirar amostra da bolsa para realizar exames com a finalidade de verificar a qualidade das bolsas de CH e/ou CHF colhidas durante aquele mês.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31235568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45409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Homogeneizar amostra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Homogeneizador de amostra</w:t>
      </w:r>
      <w:r>
        <w:br/>
      </w:r>
      <w:r>
        <w:br/>
      </w:r>
      <w:r>
        <w:t>O que:</w:t>
      </w:r>
      <w:r>
        <w:t xml:space="preserve"> Homogeneizar amostra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Transferir a amostra do segmento para o tubo de hemólise;</w:t>
      </w:r>
      <w:r>
        <w:br/>
      </w:r>
      <w:r>
        <w:t>Tarefa 2:</w:t>
      </w:r>
      <w:r>
        <w:t xml:space="preserve"> Identificar o tubo com amostra;</w:t>
      </w:r>
      <w:r>
        <w:br/>
      </w:r>
      <w:r>
        <w:t>Tarefa 3</w:t>
      </w:r>
      <w:r>
        <w:t>: Dispor a amostra no equipamento homogeneizador de amostra;</w:t>
      </w:r>
      <w:r>
        <w:br/>
      </w:r>
      <w:r>
        <w:t>Tarefa 4:</w:t>
      </w:r>
      <w:r>
        <w:t xml:space="preserve"> Ligar o equipamento para dar início a homogeneização;</w:t>
      </w:r>
      <w:r>
        <w:br/>
      </w:r>
      <w:r>
        <w:t>Tarefa 5</w:t>
      </w:r>
      <w:r>
        <w:t>: Aguardar 10 minutos;</w:t>
      </w:r>
      <w:r>
        <w:br/>
      </w:r>
      <w:r>
        <w:t>Tarefa 6</w:t>
      </w:r>
      <w:r>
        <w:t>: Apertar ok no equipamento e retirar amostra homogeneizada.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os componentes sanguíneos sejam distribuídos uniformementes na amostra do tubo de hemólise para posterior realização do exame hemograma.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90072237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79484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Realizar hemograma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Analisador hematológico - SDH20</w:t>
      </w:r>
      <w:r>
        <w:br/>
      </w:r>
      <w:r>
        <w:br/>
      </w:r>
      <w:r>
        <w:t xml:space="preserve">O que: </w:t>
      </w:r>
      <w:r>
        <w:t>Realizar hemograma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</w:t>
      </w:r>
      <w:r>
        <w:t>Dispor a amostra de CH e/ou CHF homogeneizada no a</w:t>
      </w:r>
      <w:r>
        <w:t>nalisador hematológico - SDH20</w:t>
      </w:r>
      <w:r>
        <w:t>;</w:t>
      </w:r>
      <w:r>
        <w:br/>
      </w:r>
      <w:r>
        <w:t xml:space="preserve">Tarefa 2: </w:t>
      </w:r>
      <w:r>
        <w:t>Aguardar o equipamento aspirar a amostra;</w:t>
      </w:r>
      <w:r>
        <w:br/>
      </w:r>
      <w:r>
        <w:t>Tarefa 3:</w:t>
      </w:r>
      <w:r>
        <w:t xml:space="preserve"> Ligar o equipamento para dar início a análise;</w:t>
      </w:r>
      <w:r>
        <w:br/>
      </w:r>
      <w:r>
        <w:t>Tarefa 4:</w:t>
      </w:r>
      <w:r>
        <w:t xml:space="preserve"> Aguardar o resultado do hemograma (hematócrito, grau de hemólise e hemoglobinas totais);</w:t>
      </w:r>
      <w:r>
        <w:br/>
      </w:r>
      <w:r>
        <w:t xml:space="preserve">Tarefa 5: </w:t>
      </w:r>
      <w:r>
        <w:t>Imprimir o resultado.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avaliar se os valores da hemoglobina total, grau de hemólise e o hematócrito estão dentro dos padrões de qualidade aceitáveis. </w:t>
      </w:r>
      <w:r>
        <w:t> 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 </w:t>
      </w:r>
      <w:r>
        <w:t>ANEXO VI</w:t>
      </w:r>
    </w:p>
    <w:p>
      <w:pPr>
        <w:pStyle w:val="ModelerNormal"/>
        <w:spacing w:afterAutospacing="1"/>
      </w:pPr>
      <w:r>
        <w:t>ESPECIFICAÇÕES DOS COMPONENTES SANGUÍNEOS - CONTROLE DE QUALIDADE</w:t>
      </w:r>
      <w:r>
        <w:br/>
      </w:r>
      <w:r>
        <w:drawing>
          <wp:inline>
            <wp:extent cx="6734175" cy="2085975"/>
            <wp:docPr id="10001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88048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73417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drawing>
          <wp:inline>
            <wp:extent cx="6772275" cy="1609725"/>
            <wp:docPr id="10001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97456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77227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7" w:name="_Toc256000013"/>
      <w:r>
        <w:drawing>
          <wp:inline>
            <wp:extent cx="152421" cy="152421"/>
            <wp:docPr id="6505641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06793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 Realizar contagem no microscópio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</w:t>
      </w:r>
      <w:r>
        <w:t>o microscópio</w:t>
      </w:r>
      <w:r>
        <w:br/>
      </w:r>
      <w:r>
        <w:br/>
      </w:r>
      <w:r>
        <w:t xml:space="preserve">O que: </w:t>
      </w:r>
      <w:r>
        <w:t>Realizar contagem no microscópio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Diluir a amostra de CHF na proporção 1:10 ou 1:20 em solução de Turk;</w:t>
      </w:r>
      <w:r>
        <w:br/>
      </w:r>
      <w:r>
        <w:t xml:space="preserve">Tarefa 2: </w:t>
      </w:r>
      <w:r>
        <w:t>Homogeneizar e deixar o tubo em repouso por pelo menos 10 minutos;</w:t>
      </w:r>
      <w:r>
        <w:br/>
      </w:r>
      <w:r>
        <w:t xml:space="preserve">Tarefa 3: </w:t>
      </w:r>
      <w:r>
        <w:t>Homogeneizar novamente a amostra e preencher completamente as câmaras identificadas, tendo o cuidado para não transbordar; </w:t>
      </w:r>
      <w:r>
        <w:br/>
      </w:r>
      <w:r>
        <w:t>Tarefa 4:</w:t>
      </w:r>
      <w:r>
        <w:t xml:space="preserve"> Manter as câmaras de contagem em câmara úmida; </w:t>
      </w:r>
      <w:r>
        <w:br/>
      </w:r>
      <w:r>
        <w:t>Tarefa 5:</w:t>
      </w:r>
      <w:r>
        <w:t xml:space="preserve"> Aguardar 10 a 15 minutos para completa sedimentação das células; </w:t>
      </w:r>
      <w:r>
        <w:br/>
      </w:r>
      <w:r>
        <w:t xml:space="preserve">Tarefa 6: </w:t>
      </w:r>
      <w:r>
        <w:t>Iniciar a contagem das células em microscópio nos campos específicos identificados;</w:t>
      </w:r>
      <w:r>
        <w:br/>
      </w:r>
      <w:r>
        <w:t>Observação:</w:t>
      </w:r>
      <w:r>
        <w:br/>
      </w:r>
      <w:r>
        <w:t xml:space="preserve">1 - </w:t>
      </w:r>
      <w:r>
        <w:t>Caso o número de leucócitos contados na câmara de Neubauer for inferior a 4 (quatro), realizar a contagem em câmara de Nageotte, podendo ser utilizada a mesma diluição.</w:t>
      </w:r>
      <w:r>
        <w:br/>
      </w:r>
      <w:r>
        <w:br/>
      </w:r>
      <w:r>
        <w:t>Por que essa atividade acontece? </w:t>
      </w:r>
      <w:r>
        <w:br/>
      </w:r>
      <w:r>
        <w:t>Essa atividade acontece porque é necessário que a contagem feita pelo equipamento SDH20 seja conferida, a fim de minimizar erros na contagem de leucócitos. 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 </w:t>
      </w:r>
      <w:r>
        <w:t>ANEXO VI</w:t>
      </w:r>
    </w:p>
    <w:p>
      <w:pPr>
        <w:pStyle w:val="ModelerNormal"/>
        <w:spacing w:afterAutospacing="1"/>
      </w:pPr>
      <w:r>
        <w:t>ESPECIFICAÇÕES DOS COMPONENTES SANGUÍNEOS - CONTROLE DE QUALIDADE</w:t>
      </w:r>
      <w:r>
        <w:br/>
      </w:r>
      <w:r>
        <w:drawing>
          <wp:inline>
            <wp:extent cx="6781800" cy="1609725"/>
            <wp:docPr id="1000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64872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78180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18" w:name="_Toc256000014"/>
      <w:r>
        <w:drawing>
          <wp:inline>
            <wp:extent cx="152421" cy="152421"/>
            <wp:docPr id="117949588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3128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Centrifugar amostra</w:t>
      </w:r>
      <w:bookmarkEnd w:id="18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Na centrífuga de amostra</w:t>
      </w:r>
      <w:r>
        <w:br/>
      </w:r>
      <w:r>
        <w:br/>
      </w:r>
      <w:r>
        <w:t>O que: </w:t>
      </w:r>
      <w:r>
        <w:t>Centrifugar amostra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Dispor o tubo no equipamento de centrifugação de amostras;</w:t>
      </w:r>
      <w:r>
        <w:br/>
      </w:r>
      <w:r>
        <w:t>Tarefa 2: </w:t>
      </w:r>
      <w:r>
        <w:t>Configurar a centrífuga para iniciar centrifugação;</w:t>
      </w:r>
      <w:r>
        <w:br/>
      </w:r>
      <w:r>
        <w:t>Tarefa 3:</w:t>
      </w:r>
      <w:r>
        <w:t xml:space="preserve"> Aguardar aproximadamente 10 minutos para a finalização do procedimento;</w:t>
      </w:r>
      <w:r>
        <w:br/>
      </w:r>
      <w:r>
        <w:t xml:space="preserve">Tarefa 4: </w:t>
      </w:r>
      <w:r>
        <w:t>Retirar a amostra do equipamento.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separação dos compostos sanguíneos por meio da sedimentação, considerando suas diferentes</w:t>
      </w:r>
      <w:r>
        <w:t xml:space="preserve"> densidades.</w:t>
      </w:r>
    </w:p>
    <w:p>
      <w:pPr>
        <w:pStyle w:val="ModelerNormal"/>
        <w:spacing w:afterAutospacing="1"/>
      </w:pPr>
      <w:r>
        <w:t>Embasamento</w:t>
      </w:r>
      <w:r>
        <w:br/>
      </w:r>
      <w:r>
        <w:t xml:space="preserve"> Manual-de-Coleta-LACEN-2014-1 </w:t>
      </w:r>
      <w:r>
        <w:br/>
      </w:r>
      <w:r>
        <w:t>"O sangue total deve ser coletado em tubo sem anticoagulante, ser centrifugado, ou, se o local não dispõe de centrífuga, deixar retrair o coágulo. Alíquota o soro formado, rotular o tubo e enviar".</w:t>
      </w:r>
    </w:p>
    <w:p>
      <w:pPr>
        <w:pStyle w:val="ModelerNormal"/>
        <w:spacing w:afterAutospacing="1"/>
      </w:pPr>
      <w:r>
        <w:t>"NOTA: Realizar o procedimento de centrifugação por 5 a 10 minutos a 1.500 rpm, obedecendo as recomendações do fabricante da centrífuga, como também procedimentos de Biossegurança"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9" w:name="_Toc256000015"/>
      <w:r>
        <w:drawing>
          <wp:inline>
            <wp:extent cx="152421" cy="152421"/>
            <wp:docPr id="6409680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83398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 Realizar leitura no Bioplus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Bioplus</w:t>
      </w:r>
      <w:r>
        <w:br/>
      </w:r>
      <w:r>
        <w:br/>
      </w:r>
      <w:r>
        <w:t>O que:</w:t>
      </w:r>
      <w:r>
        <w:t> Realizar leitura no Bioplus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br/>
      </w:r>
      <w:r>
        <w:t>Tarefa 1:</w:t>
      </w:r>
      <w:r>
        <w:t xml:space="preserve"> Pipetar alguns ml do reagente específico para hemoglobina livres;</w:t>
      </w:r>
      <w:r>
        <w:br/>
      </w:r>
      <w:r>
        <w:t>Observação:</w:t>
      </w:r>
      <w:r>
        <w:br/>
      </w:r>
      <w:r>
        <w:t xml:space="preserve">1- </w:t>
      </w:r>
      <w:r>
        <w:t>A quantidade de reagente varia de acordo com o fabricante.</w:t>
      </w:r>
      <w:r>
        <w:br/>
      </w:r>
      <w:r>
        <w:t>Tarefa 2:</w:t>
      </w:r>
      <w:r>
        <w:t xml:space="preserve"> Adicionar o reagente específico para hemoglobina livres na amostra centrifugada;</w:t>
      </w:r>
      <w:r>
        <w:br/>
      </w:r>
      <w:r>
        <w:t>Tarefa 3:</w:t>
      </w:r>
      <w:r>
        <w:t xml:space="preserve"> Homogeneizar manualmente a amostra, balançando algumas vezes;</w:t>
      </w:r>
      <w:r>
        <w:br/>
      </w:r>
      <w:r>
        <w:t xml:space="preserve">Tarefa 4: </w:t>
      </w:r>
      <w:r>
        <w:t>Incubar em temperatura ambiente por 5 minutos;</w:t>
      </w:r>
      <w:r>
        <w:br/>
      </w:r>
      <w:r>
        <w:t>Tarefa 5:</w:t>
      </w:r>
      <w:r>
        <w:t xml:space="preserve"> Configurar a máquina de Bioplus para realizar leitura; </w:t>
      </w:r>
      <w:r>
        <w:br/>
      </w:r>
      <w:r>
        <w:t>Tarefa 6:</w:t>
      </w:r>
      <w:r>
        <w:t xml:space="preserve"> Aguardar o Bioplus pipetar a amostra para obter resultado de hemoglobina livres;</w:t>
      </w:r>
      <w:r>
        <w:br/>
      </w:r>
      <w:r>
        <w:t>Tarefa 7:</w:t>
      </w:r>
      <w:r>
        <w:t xml:space="preserve"> Verificar o resultado na tela do equipamento de Bioplus; </w:t>
      </w:r>
      <w:r>
        <w:br/>
      </w:r>
      <w:r>
        <w:t>Observações:</w:t>
      </w:r>
      <w:r>
        <w:br/>
      </w:r>
      <w:r>
        <w:t xml:space="preserve">1 - </w:t>
      </w:r>
      <w:r>
        <w:t> Após o exame, o resultado será anotado em um papel</w:t>
      </w:r>
      <w:r>
        <w:t xml:space="preserve"> pois o Bioplus não realiza a impressão por falta de papel;</w:t>
      </w:r>
      <w:r>
        <w:br/>
      </w:r>
      <w:r>
        <w:t xml:space="preserve">2 - </w:t>
      </w:r>
      <w:r>
        <w:t>Caso o resultado de hemoglobina livres esteja alterado, a bolsa será expurgada.</w:t>
      </w:r>
      <w:r>
        <w:br/>
      </w:r>
      <w:r>
        <w:t xml:space="preserve">Tarefa 8: </w:t>
      </w:r>
      <w:r>
        <w:t>Anotar em papel avulso para registrar os resultados no sistema SIHRO posteriormente.</w:t>
      </w:r>
      <w:r>
        <w:br/>
      </w:r>
      <w:r>
        <w:t> </w:t>
      </w:r>
    </w:p>
    <w:p>
      <w:pPr>
        <w:pStyle w:val="ModelerNormal"/>
        <w:spacing w:afterAutospacing="1"/>
      </w:pPr>
      <w:r>
        <w:t>Por que essa atividade acontece? </w:t>
      </w:r>
      <w:r>
        <w:br/>
      </w:r>
      <w:r>
        <w:t>Essa atividade acontece pois é necessário que seja realizado exame para obter a quantidade de hemoglobina livres.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 </w:t>
      </w:r>
      <w:r>
        <w:t>ANEXO VI</w:t>
      </w:r>
    </w:p>
    <w:p>
      <w:pPr>
        <w:pStyle w:val="ModelerNormal"/>
        <w:spacing w:afterAutospacing="1"/>
      </w:pPr>
      <w:r>
        <w:t>ESPECIFICAÇÕES DOS COMPONENTES SANGUÍNEOS - CONTROLE DE QUALIDADE</w:t>
      </w:r>
      <w:r>
        <w:br/>
      </w:r>
      <w:r>
        <w:drawing>
          <wp:inline>
            <wp:extent cx="6743700" cy="2085975"/>
            <wp:docPr id="10001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02130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drawing>
          <wp:inline>
            <wp:extent cx="6781800" cy="1609725"/>
            <wp:docPr id="10002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22501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78180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20" w:name="_Toc256000016"/>
      <w:r>
        <w:drawing>
          <wp:inline>
            <wp:extent cx="152421" cy="152421"/>
            <wp:docPr id="94175994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4314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Armazenar bolsa</w:t>
      </w:r>
      <w:bookmarkEnd w:id="20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Câmara fria</w:t>
      </w:r>
      <w:r>
        <w:br/>
      </w:r>
      <w:r>
        <w:br/>
      </w:r>
      <w:r>
        <w:t>O que: </w:t>
      </w:r>
      <w:r>
        <w:t>Armazenar bolsa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 xml:space="preserve">Tarefa 1: </w:t>
      </w:r>
      <w:r>
        <w:t>Dispor bolsa na câmara fria;</w:t>
      </w:r>
      <w:r>
        <w:br/>
      </w:r>
      <w:r>
        <w:t>Observação:</w:t>
      </w:r>
      <w:r>
        <w:br/>
      </w:r>
      <w:r>
        <w:t xml:space="preserve">1- </w:t>
      </w:r>
      <w:r>
        <w:t> </w:t>
      </w:r>
      <w:r>
        <w:t>A bolsa deverá ficar armazenada em uma temperatura que varia de 2 ºC a 6 ºC graus.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a bolsa seja armazenada em temperatura adequadas para sua conservação enquanto testes são realizados.</w:t>
      </w:r>
    </w:p>
    <w:p>
      <w:pPr>
        <w:pStyle w:val="ModelerNormal"/>
        <w:spacing w:afterAutospacing="1"/>
      </w:pPr>
      <w:r>
        <w:t>                                                            </w:t>
      </w:r>
      <w:r>
        <w:t>RESOLUÇÃO - RDC N° 34, DE 11 DE JUNHO DE 2014 </w:t>
      </w:r>
    </w:p>
    <w:p>
      <w:pPr>
        <w:pStyle w:val="ModelerNormal"/>
        <w:spacing w:afterAutospacing="1"/>
      </w:pPr>
      <w:r>
        <w:t>                                        </w:t>
      </w:r>
      <w:r>
        <w:t>                                    Dispõe sobre as Boas Práticas no Ciclo do Sangue.</w:t>
      </w:r>
    </w:p>
    <w:p>
      <w:pPr>
        <w:pStyle w:val="ModelerNormal"/>
        <w:spacing w:afterAutospacing="1"/>
      </w:pPr>
      <w:r>
        <w:t xml:space="preserve">MÓDULO IV </w:t>
      </w:r>
    </w:p>
    <w:p>
      <w:pPr>
        <w:pStyle w:val="ModelerNormal"/>
        <w:spacing w:afterAutospacing="1"/>
      </w:pPr>
      <w:r>
        <w:t xml:space="preserve">PROCESSAMENTO, ROTULAGEM, ARMAZENAMENTO E DISTRIBUIÇÃO </w:t>
      </w:r>
    </w:p>
    <w:p>
      <w:pPr>
        <w:pStyle w:val="ModelerNormal"/>
        <w:spacing w:afterAutospacing="1"/>
      </w:pPr>
      <w:r>
        <w:drawing>
          <wp:inline>
            <wp:extent cx="5105400" cy="704850"/>
            <wp:docPr id="1000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09904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21" w:name="_Toc256000017"/>
      <w:r>
        <w:drawing>
          <wp:inline>
            <wp:extent cx="152421" cy="152421"/>
            <wp:docPr id="157226416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34544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Resultados disponíveis</w:t>
      </w:r>
      <w:bookmarkEnd w:id="21"/>
      <w:r>
        <w:t> </w:t>
      </w:r>
    </w:p>
    <w:p/>
    <w:p>
      <w:pPr>
        <w:pStyle w:val="bizHeading4"/>
      </w:pPr>
      <w:bookmarkStart w:id="22" w:name="_Toc256000018"/>
      <w:r>
        <w:drawing>
          <wp:inline>
            <wp:extent cx="152421" cy="152421"/>
            <wp:docPr id="143887581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69781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Resultados disponíveis</w:t>
      </w:r>
      <w:bookmarkEnd w:id="22"/>
      <w:r>
        <w:t> </w:t>
      </w:r>
    </w:p>
    <w:p/>
    <w:p>
      <w:pPr>
        <w:pStyle w:val="bizHeading4"/>
      </w:pPr>
      <w:bookmarkStart w:id="23" w:name="_Toc256000019"/>
      <w:r>
        <w:drawing>
          <wp:inline>
            <wp:extent cx="152421" cy="152421"/>
            <wp:docPr id="188332796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41924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12. Registrar resultado</w:t>
      </w:r>
      <w:bookmarkEnd w:id="2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Registrar resultados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Analisar os resultados</w:t>
      </w:r>
      <w:r>
        <w:t>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1 -</w:t>
      </w:r>
      <w:r>
        <w:t xml:space="preserve"> Caso os resultados dos testes estejam alterados, a bolsa será expurgada e o registro do expurgo realizado;</w:t>
      </w:r>
      <w:r>
        <w:br/>
      </w:r>
      <w:r>
        <w:t xml:space="preserve">2 - </w:t>
      </w:r>
      <w:r>
        <w:t>Os outros setores conseguirão visualizar no sistema SIHRO, as bolsa expurgadas pelo Controle de Qualidade.</w:t>
      </w:r>
      <w:r>
        <w:br/>
      </w:r>
      <w:r>
        <w:t>Tarefa 2: </w:t>
      </w:r>
      <w:r>
        <w:t>Acessar o sistema SIHRO com login e senha;</w:t>
      </w:r>
      <w:r>
        <w:br/>
      </w:r>
      <w:r>
        <w:t>Tarefa 3: </w:t>
      </w:r>
      <w:r>
        <w:t>Abrir aba "análise da qualidade dos hemocomponetes" e selecionar a opção analisar concentrado de hemácias (CH) ou concentrado de hemácias filtradas (CHF);</w:t>
      </w:r>
      <w:r>
        <w:br/>
      </w:r>
      <w:r>
        <w:t>Tarefa 4: </w:t>
      </w:r>
      <w:r>
        <w:t>Selecionar a bolsa que foi analisada;</w:t>
      </w:r>
      <w:r>
        <w:br/>
      </w:r>
      <w:r>
        <w:t>Tarefa 5:</w:t>
      </w:r>
      <w:r>
        <w:t> Registrar os resultados da procedimentos feitos na bolsa;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O sistema SIHRO deverá conter os valores de referência da temperatura (1ºC a 10°C) e do volume do Controle de Qualidade (220ml a 320ml).</w:t>
      </w:r>
      <w:r>
        <w:br/>
      </w:r>
      <w:r>
        <w:t xml:space="preserve">2 - </w:t>
      </w:r>
      <w:r>
        <w:t>O Peso é dado em gramas e sistema SIHRO realizará o cálculo de conversão de gramas (g) para grandeza mililitro (ml), quando o registro do resultado for feito;</w:t>
      </w:r>
      <w:r>
        <w:br/>
      </w:r>
      <w:r>
        <w:t xml:space="preserve">3 - </w:t>
      </w:r>
      <w:r>
        <w:t>O sistema SIHRO terá um campo para preencher as</w:t>
      </w:r>
      <w:r>
        <w:t xml:space="preserve"> observações, que o técnico julgar necessária.</w:t>
      </w:r>
    </w:p>
    <w:p>
      <w:pPr>
        <w:pStyle w:val="ModelerNormal"/>
        <w:spacing w:afterAutospacing="1"/>
      </w:pPr>
      <w:r>
        <w:t xml:space="preserve">Tarefa 6: </w:t>
      </w:r>
      <w:r>
        <w:t xml:space="preserve">Preencher os campos do exame de hemograma; 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O sistema SIHRO terá os campos dos valores do hemograma;</w:t>
      </w:r>
      <w:r>
        <w:br/>
      </w:r>
      <w:r>
        <w:t>· Hemoglobinas totais (ref.: &gt;45g/unid);</w:t>
      </w:r>
      <w:r>
        <w:br/>
      </w:r>
      <w:r>
        <w:t>· Hemólise (ref.: &lt;0,8% da massa no último dia de armazenamento);</w:t>
      </w:r>
      <w:r>
        <w:br/>
      </w:r>
      <w:r>
        <w:t>· Valores do hematócito;</w:t>
      </w:r>
      <w:r>
        <w:br/>
      </w:r>
      <w:r>
        <w:t xml:space="preserve">2 - </w:t>
      </w:r>
      <w:r>
        <w:t>O sistema deverá conter um campo para registrar qual foi o anticoagulante usado no tubo (Sagmanitol ou CPDA - 1);</w:t>
      </w:r>
      <w:r>
        <w:br/>
      </w:r>
      <w:r>
        <w:t>3 - O sistema deve conter os valores de referência do hematócrito, 50% a 70% como reagente sagmanitol e 65% a 80% com o reagente CPDA - 1.</w:t>
      </w:r>
      <w:r>
        <w:br/>
      </w:r>
      <w:r>
        <w:t>Tarefa 7:</w:t>
      </w:r>
      <w:r>
        <w:t xml:space="preserve"> Registrar o resultado obtido na leitura da amostra feita no Bioplus;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O sistema SIHRO terá o valor de referência da hemoglobina livres;</w:t>
      </w:r>
      <w:r>
        <w:br/>
      </w:r>
      <w:r>
        <w:t>· 10g/dl;</w:t>
      </w:r>
      <w:r>
        <w:br/>
      </w:r>
      <w:r>
        <w:t>· Aceitável de 9 g/dl a 11 g/dl;</w:t>
      </w:r>
      <w:r>
        <w:br/>
      </w:r>
      <w:r>
        <w:t xml:space="preserve">2 - </w:t>
      </w:r>
      <w:r>
        <w:t>O sistema SIHRO emitir um alerta visual quando algum dos parâmetros estiver fora dos valores de referência;</w:t>
      </w:r>
      <w:r>
        <w:br/>
      </w:r>
      <w:r>
        <w:t xml:space="preserve">3 - </w:t>
      </w:r>
      <w:r>
        <w:t>Após o registro das informações obtidas nas análises, o sistema SIHRO terá opção de gerar relatório de porcentagem das análises mensais (10 bolsas = 100%). Sendo que o grau de conformidade deve ser igual ou superior a 75%, conforme apresentado abaixo na figura 2 e 2.1;</w:t>
      </w:r>
      <w:r>
        <w:br/>
      </w:r>
      <w:r>
        <w:t xml:space="preserve">4 - </w:t>
      </w:r>
      <w:r>
        <w:t>O sistema SIHRO terá nesta aba os status sobre o exame microbiológico (não realizado e aguardando resultado). Outros setores conseguirão visualizar esse status.</w:t>
      </w:r>
      <w:r>
        <w:br/>
      </w:r>
      <w:r>
        <w:t xml:space="preserve">Tarefa 8: </w:t>
      </w:r>
      <w:r>
        <w:t>Apertar Ok para salvar as informações.</w:t>
      </w:r>
    </w:p>
    <w:p>
      <w:pPr>
        <w:pStyle w:val="ModelerNormal"/>
        <w:spacing w:afterAutospacing="1"/>
      </w:pPr>
      <w:r>
        <w:t>Observações:</w:t>
      </w:r>
    </w:p>
    <w:p>
      <w:pPr>
        <w:pStyle w:val="ModelerNormal"/>
        <w:spacing w:afterAutospacing="1"/>
      </w:pPr>
      <w:r>
        <w:t xml:space="preserve">1 - </w:t>
      </w:r>
      <w:r>
        <w:t>Ao salvar as informações,  estas serão disponibilizadas para o setor de Processamento; </w:t>
      </w:r>
      <w:r>
        <w:br/>
      </w:r>
      <w:r>
        <w:t xml:space="preserve">2 - </w:t>
      </w:r>
      <w:r>
        <w:t>O Processamento receberá alerta quando os resultados das análises estiverem disponíveis no sistema SIHRO e deverá dar o aceite, confirmando que recebeu. </w:t>
      </w:r>
    </w:p>
    <w:p>
      <w:pPr>
        <w:pStyle w:val="ModelerNormal"/>
        <w:spacing w:afterAutospacing="1"/>
      </w:pPr>
      <w:r>
        <w:t>Porque esta atividade acontece?</w:t>
      </w:r>
      <w:r>
        <w:br/>
      </w:r>
      <w:r>
        <w:t>Essa atividade acontece porque é necessário registrar os resultados obtidos nas análises da amostra para a disponibilização, via sistema SIHRO ao setor de Processamento.</w:t>
      </w:r>
      <w:r>
        <w:br/>
      </w:r>
      <w:r>
        <w:t>Fórmulas aplicadas</w:t>
      </w:r>
      <w:r>
        <w:br/>
      </w:r>
      <w:r>
        <w:t>* CHF</w:t>
      </w:r>
    </w:p>
    <w:p>
      <w:pPr>
        <w:pStyle w:val="ModelerNormal"/>
        <w:spacing w:afterAutospacing="1"/>
      </w:pPr>
      <w:r>
        <w:t>Teor de hemoglobina (g/U</w:t>
      </w:r>
      <w:r>
        <w:t xml:space="preserve">) = Hb(g/dL) x volume da bolsa/100 </w:t>
      </w:r>
      <w:r>
        <w:br/>
      </w:r>
      <w:r>
        <w:t>Grau de Hemólise</w:t>
      </w:r>
      <w:r>
        <w:t xml:space="preserve"> = (100-Ht) x Hb livre / Hb total </w:t>
      </w:r>
      <w:r>
        <w:br/>
      </w:r>
      <w:r>
        <w:t>Leucócitos/Unidade</w:t>
      </w:r>
      <w:r>
        <w:t xml:space="preserve"> = (Leucócitos contados x10) / 50 x 1000 x volume da bolsa</w:t>
      </w:r>
      <w:r>
        <w:br/>
      </w:r>
      <w:r>
        <w:t>Volume do concentrado de hemácias (mL)</w:t>
      </w:r>
      <w:r>
        <w:t xml:space="preserve"> = Peso líquido do concentrado de hemácias (g) - Tara (43g) / Densidade do concentrado de hemácias (1,070g/mL)</w:t>
      </w:r>
      <w:r>
        <w:br/>
      </w:r>
      <w:r>
        <w:t>* CH</w:t>
      </w:r>
      <w:r>
        <w:br/>
      </w:r>
      <w:r>
        <w:t xml:space="preserve">Teor de hemoglobina(g/U) = </w:t>
      </w:r>
      <w:r>
        <w:t xml:space="preserve">Hb total x volume da bolsa/100 </w:t>
      </w:r>
      <w:r>
        <w:br/>
      </w:r>
      <w:r>
        <w:t xml:space="preserve">Grau de Hemólise = </w:t>
      </w:r>
      <w:r>
        <w:t>(100-Ht) x Hb livre / Hb total</w:t>
      </w:r>
      <w:r>
        <w:t xml:space="preserve"> </w:t>
      </w:r>
      <w:r>
        <w:br/>
      </w:r>
      <w:r>
        <w:t xml:space="preserve">Volume (ml) = </w:t>
      </w:r>
      <w:r>
        <w:t xml:space="preserve">Peso líquido do sangue total (g) - Tara (43g) / Densidade do sangue total 1,070 (g/mL) </w:t>
      </w:r>
      <w:r>
        <w:br/>
      </w:r>
      <w:r>
        <w:br/>
      </w:r>
      <w:r>
        <w:t xml:space="preserve">Figura 1 </w:t>
      </w:r>
      <w:r>
        <w:t xml:space="preserve">- Exemplo de como preenchem no Excel: </w:t>
      </w:r>
    </w:p>
    <w:p>
      <w:pPr>
        <w:pStyle w:val="ModelerNormal"/>
        <w:spacing w:afterAutospacing="1"/>
      </w:pPr>
      <w:r>
        <w:t>Planilha de Controle de Qualidade de Concentrado de Hemácias</w:t>
      </w:r>
    </w:p>
    <w:p>
      <w:pPr>
        <w:pStyle w:val="ModelerNormal"/>
        <w:spacing w:afterAutospacing="1"/>
      </w:pPr>
      <w:r>
        <w:t> </w:t>
      </w:r>
      <w:r>
        <w:drawing>
          <wp:inline>
            <wp:extent cx="5612130" cy="3390970"/>
            <wp:docPr id="10002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4105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39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Planilha de Controle de Qualidade de Concentrado de Hemácias Desleucocitadas/Filtradas.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drawing>
          <wp:inline>
            <wp:extent cx="5612130" cy="3304430"/>
            <wp:docPr id="10002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37837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30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Figura 2</w:t>
      </w:r>
      <w:r>
        <w:t xml:space="preserve"> - Comunicação mensal - Relatório</w:t>
      </w:r>
    </w:p>
    <w:p>
      <w:pPr>
        <w:pStyle w:val="ModelerNormal"/>
        <w:spacing w:afterAutospacing="1"/>
      </w:pPr>
      <w:r>
        <w:drawing>
          <wp:inline>
            <wp:extent cx="5612130" cy="3842582"/>
            <wp:docPr id="10002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40688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42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drawing>
          <wp:inline>
            <wp:extent cx="5612130" cy="3694769"/>
            <wp:docPr id="10002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44825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694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Figura 2.1</w:t>
      </w:r>
      <w:r>
        <w:t xml:space="preserve"> - Comunicação semanal - Relatório</w:t>
      </w:r>
    </w:p>
    <w:p>
      <w:pPr>
        <w:pStyle w:val="ModelerNormal"/>
        <w:spacing w:afterAutospacing="1"/>
      </w:pPr>
      <w:r>
        <w:drawing>
          <wp:inline>
            <wp:extent cx="266700" cy="266700"/>
            <wp:docPr id="10003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1642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Figura 3</w:t>
      </w:r>
      <w:r>
        <w:t xml:space="preserve"> - Relatório mensal e do SUS  - que é encaminhado para o setor de Estatística e SUS</w:t>
      </w:r>
    </w:p>
    <w:p>
      <w:pPr>
        <w:pStyle w:val="ModelerNormal"/>
        <w:spacing w:afterAutospacing="1"/>
      </w:pPr>
      <w:r>
        <w:drawing>
          <wp:inline>
            <wp:extent cx="5612130" cy="3974676"/>
            <wp:docPr id="10003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13539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74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Figura 4</w:t>
      </w:r>
      <w:r>
        <w:t xml:space="preserve"> - Relatório mensal de indicadores</w:t>
      </w:r>
    </w:p>
    <w:p>
      <w:pPr>
        <w:pStyle w:val="ModelerNormal"/>
        <w:spacing w:afterAutospacing="1"/>
      </w:pPr>
      <w:r>
        <w:t> </w:t>
      </w:r>
      <w:r>
        <w:drawing>
          <wp:inline>
            <wp:extent cx="5612130" cy="4000657"/>
            <wp:docPr id="10003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89271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00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24" w:name="_Toc256000020"/>
      <w:r>
        <w:drawing>
          <wp:inline>
            <wp:extent cx="152421" cy="152421"/>
            <wp:docPr id="149361276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94079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13. Transferir amostra para mini-bolsa</w:t>
      </w:r>
      <w:bookmarkEnd w:id="2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 </w:t>
      </w:r>
      <w:r>
        <w:t>Transferir amostra para mini-bolsa</w:t>
      </w:r>
      <w:r>
        <w:t xml:space="preserve"> 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Transferir a amostra para mini bolsa (seladora);</w:t>
      </w:r>
      <w:r>
        <w:br/>
      </w:r>
      <w:r>
        <w:t xml:space="preserve">Tarefa 2: </w:t>
      </w:r>
      <w:r>
        <w:t xml:space="preserve">Transportar a mini bolsa até a </w:t>
      </w:r>
      <w:r>
        <w:t>cabine de fluxo laminar - classe 100</w:t>
      </w:r>
      <w:r>
        <w:t xml:space="preserve"> (capela);</w:t>
      </w:r>
      <w:r>
        <w:br/>
      </w:r>
      <w:r>
        <w:t>Tarefa 3: </w:t>
      </w:r>
      <w:r>
        <w:t>Aspirar com a seringa aproximadamente 5 a 8 ml da amostra da mini bolsa;</w:t>
      </w:r>
      <w:r>
        <w:br/>
      </w:r>
      <w:r>
        <w:t>Tarefa 4:</w:t>
      </w:r>
      <w:r>
        <w:t xml:space="preserve"> Inocular no tubo de amostra para incubação;</w:t>
      </w:r>
      <w:r>
        <w:br/>
      </w:r>
      <w:r>
        <w:t xml:space="preserve">Tarefa 5: </w:t>
      </w:r>
      <w:r>
        <w:t>Identificar o tubo de incubação;</w:t>
      </w:r>
      <w:r>
        <w:br/>
      </w:r>
      <w:r>
        <w:t xml:space="preserve">Tarefa 6: </w:t>
      </w:r>
      <w:r>
        <w:t>Descartar a mini bolsa com o restante da amostra;</w:t>
      </w:r>
      <w:r>
        <w:br/>
      </w:r>
      <w:r>
        <w:t xml:space="preserve">Tarefa 7: </w:t>
      </w:r>
      <w:r>
        <w:t>Transportar a bolsa de CH e/ou CHF e tubo para incubação até o Controle de Qualidade.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transferência da amostra em sistema fechado, um ambiente limpo e protegido, a fim de evitar a contaminação da amostra durante a realização da incubação.</w:t>
      </w:r>
      <w:r>
        <w:t> </w:t>
      </w:r>
    </w:p>
    <w:p>
      <w:pPr>
        <w:pStyle w:val="bizHeading4"/>
      </w:pPr>
      <w:bookmarkStart w:id="25" w:name="_Toc256000021"/>
      <w:r>
        <w:drawing>
          <wp:inline>
            <wp:extent cx="152421" cy="152421"/>
            <wp:docPr id="203188748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88688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14. Registrar amostras</w:t>
      </w:r>
      <w:bookmarkEnd w:id="2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GAL</w:t>
      </w:r>
      <w:r>
        <w:br/>
      </w:r>
      <w:r>
        <w:br/>
      </w:r>
      <w:r>
        <w:t xml:space="preserve">O que: </w:t>
      </w:r>
      <w:r>
        <w:t>Registrar amostra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Abrir o sistema Gerenciador de Ambiente Laboratorial - GAL;</w:t>
      </w:r>
      <w:r>
        <w:br/>
      </w:r>
      <w:r>
        <w:t>Observação:</w:t>
      </w:r>
      <w:r>
        <w:br/>
      </w:r>
      <w:r>
        <w:t xml:space="preserve">1 - </w:t>
      </w:r>
      <w:r>
        <w:t>O GAL é uma sistema usando para gerencias e acompanhar análises laboratoriais, enviar resultados de análises e entre outros.</w:t>
      </w:r>
      <w:r>
        <w:br/>
      </w:r>
      <w:r>
        <w:t xml:space="preserve">Tarefa 2: </w:t>
      </w:r>
      <w:r>
        <w:t xml:space="preserve">Registar a amostra no sistema; </w:t>
      </w:r>
    </w:p>
    <w:p>
      <w:pPr>
        <w:pStyle w:val="ModelerNormal"/>
        <w:spacing w:afterAutospacing="1"/>
      </w:pPr>
      <w:r>
        <w:t xml:space="preserve">· </w:t>
      </w:r>
      <w:r>
        <w:t>Código de barras/frasco;</w:t>
      </w:r>
    </w:p>
    <w:p>
      <w:pPr>
        <w:pStyle w:val="ModelerNormal"/>
        <w:spacing w:afterAutospacing="1"/>
      </w:pPr>
      <w:r>
        <w:t xml:space="preserve">· </w:t>
      </w:r>
      <w:r>
        <w:t xml:space="preserve">O número da bolsa; </w:t>
      </w:r>
    </w:p>
    <w:p>
      <w:pPr>
        <w:pStyle w:val="ModelerNormal"/>
        <w:spacing w:afterAutospacing="1"/>
      </w:pPr>
      <w:r>
        <w:t xml:space="preserve">· </w:t>
      </w:r>
      <w:r>
        <w:t>Tipo de hemocomponentes;</w:t>
      </w:r>
    </w:p>
    <w:p>
      <w:pPr>
        <w:pStyle w:val="ModelerNormal"/>
        <w:spacing w:afterAutospacing="1"/>
      </w:pPr>
      <w:r>
        <w:t xml:space="preserve">· </w:t>
      </w:r>
      <w:r>
        <w:t>Data da inoculação;</w:t>
      </w:r>
    </w:p>
    <w:p>
      <w:pPr>
        <w:pStyle w:val="ModelerNormal"/>
        <w:spacing w:afterAutospacing="1"/>
      </w:pPr>
      <w:r>
        <w:t xml:space="preserve">· </w:t>
      </w:r>
      <w:r>
        <w:t>Célula inoculada.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 que a amostra seja registrada no sistema GAL antes do envio da amostra de CH e/ou CHF para realização do exame microbiológico.</w:t>
      </w:r>
      <w:r>
        <w:t> </w:t>
      </w:r>
    </w:p>
    <w:p>
      <w:pPr>
        <w:pStyle w:val="ModelerNormal"/>
        <w:spacing w:afterAutospacing="1"/>
      </w:pPr>
      <w:r>
        <w:t> </w:t>
      </w: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116. Os serviços de hemoterapia realizarão o controle de qualidade sistemático de todos os tipos de componentes sanguíneos que produzirem.</w:t>
      </w:r>
      <w:r>
        <w:t xml:space="preserve"> </w:t>
      </w:r>
      <w:r>
        <w:br/>
      </w:r>
      <w:r>
        <w:t>§ 4º Cada item verificado pelo controle de qualidade deve apresentar um percentual de conformidade igual ou superior a 75%.</w:t>
      </w:r>
      <w:r>
        <w:t xml:space="preserve"> </w:t>
      </w:r>
      <w:r>
        <w:br/>
      </w:r>
      <w:r>
        <w:t>§ 6º A avaliação da contaminação microbiológica dos componentes sanguíneos celulares será realizada utilizando-se amostragem igual ou</w:t>
      </w:r>
      <w:r>
        <w:br/>
      </w:r>
      <w:r>
        <w:t>superior a 1% da produção ou 10 (dez) unidades por mês, o que for maior.</w:t>
      </w:r>
      <w:r>
        <w:t xml:space="preserve">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26" w:name="_Toc256000022"/>
      <w:r>
        <w:drawing>
          <wp:inline>
            <wp:extent cx="152421" cy="152421"/>
            <wp:docPr id="138158984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74354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15. Encaminhar amostras para o LACEN</w:t>
      </w:r>
      <w:bookmarkEnd w:id="2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 xml:space="preserve">O que: </w:t>
      </w:r>
      <w:r>
        <w:t>Encaminhar amostras para o LACEN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br/>
      </w:r>
      <w:r>
        <w:t xml:space="preserve">Tarefa 1: </w:t>
      </w:r>
      <w:r>
        <w:t>Identificar o tubo de inoculação;</w:t>
      </w:r>
      <w:r>
        <w:br/>
      </w:r>
      <w:r>
        <w:t>· O número da requisição gerada GAL;</w:t>
      </w:r>
      <w:r>
        <w:br/>
      </w:r>
      <w:r>
        <w:t>· Hemocomponente;</w:t>
      </w:r>
      <w:r>
        <w:br/>
      </w:r>
      <w:r>
        <w:t>· Número da bolsa inoculada;</w:t>
      </w:r>
      <w:r>
        <w:br/>
      </w:r>
      <w:r>
        <w:t xml:space="preserve">Tarefa 2: </w:t>
      </w:r>
      <w:r>
        <w:t>Transportar a amostra para o LACEN;</w:t>
      </w:r>
      <w:r>
        <w:br/>
      </w:r>
      <w:r>
        <w:t xml:space="preserve">Tarefa 3: </w:t>
      </w:r>
      <w:r>
        <w:t>Aguardar o resultado final da incubação (5 dias).</w:t>
      </w:r>
    </w:p>
    <w:p>
      <w:pPr>
        <w:pStyle w:val="ModelerNormal"/>
        <w:spacing w:afterAutospacing="1"/>
      </w:pPr>
      <w:r>
        <w:t xml:space="preserve">Observação: </w:t>
      </w:r>
      <w:r>
        <w:br/>
      </w:r>
      <w:r>
        <w:t xml:space="preserve">1 - </w:t>
      </w:r>
      <w:r>
        <w:t>O resultado será disponibilizado pelo LACEN para o setor de Controle de Qualidade, via sistema GAL.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 que a amostra seja encaminhada para o LACEN para realização do exame microbiológico, visto que, o Controle de Qualidade não dispõe desse equipamento atualmente.</w:t>
      </w:r>
      <w:r>
        <w:t> </w:t>
      </w:r>
    </w:p>
    <w:p>
      <w:pPr>
        <w:pStyle w:val="bizHeading4"/>
      </w:pPr>
      <w:bookmarkStart w:id="27" w:name="_Toc256000023"/>
      <w:r>
        <w:drawing>
          <wp:inline>
            <wp:extent cx="152421" cy="152421"/>
            <wp:docPr id="61689138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45621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14. Armazenar bolsa</w:t>
      </w:r>
      <w:bookmarkEnd w:id="27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Câmara fria</w:t>
      </w:r>
      <w:r>
        <w:br/>
      </w:r>
      <w:r>
        <w:br/>
      </w:r>
      <w:r>
        <w:t>O que: </w:t>
      </w:r>
      <w:r>
        <w:t>Armazenar bolsa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Dispor bolsa de hemácias na câmara fria;</w:t>
      </w:r>
      <w:r>
        <w:br/>
      </w:r>
      <w:r>
        <w:t>Observação:</w:t>
      </w:r>
      <w:r>
        <w:br/>
      </w:r>
      <w:r>
        <w:t xml:space="preserve">1 - </w:t>
      </w:r>
      <w:r>
        <w:t> </w:t>
      </w:r>
      <w:r>
        <w:t>A bolsa deverá ficar armazenada em uma temperatura que varia de 2 °C a 6 ºC graus.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a bolsa seja armazenada em temperatura adequadas para sua conservação, enquanto o teste microbiológico é realizado.</w:t>
      </w:r>
    </w:p>
    <w:p>
      <w:pPr>
        <w:pStyle w:val="ModelerNormal"/>
        <w:spacing w:afterAutospacing="1"/>
      </w:pPr>
      <w:r>
        <w:t>                                                            </w:t>
      </w:r>
      <w:r>
        <w:t>RESOLUÇÃO - RDC N° 34, DE 11 DE JUNHO DE 2014 </w:t>
      </w:r>
    </w:p>
    <w:p>
      <w:pPr>
        <w:pStyle w:val="ModelerNormal"/>
        <w:spacing w:afterAutospacing="1"/>
      </w:pPr>
      <w:r>
        <w:t>                                        </w:t>
      </w:r>
      <w:r>
        <w:t>                                    Dispõe sobre as Boas Práticas no Ciclo do Sangue.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drawing>
          <wp:inline>
            <wp:extent cx="5497349" cy="734889"/>
            <wp:docPr id="10003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13271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97349" cy="734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28" w:name="_Toc256000024"/>
      <w:r>
        <w:drawing>
          <wp:inline>
            <wp:extent cx="152421" cy="152421"/>
            <wp:docPr id="2715030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93598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16. Registrar resultado</w:t>
      </w:r>
      <w:bookmarkEnd w:id="28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Registrar resultados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Abrir o sistema Gerenciador de Ambiente Laboratorial - GAL;</w:t>
      </w:r>
      <w:r>
        <w:br/>
      </w:r>
      <w:r>
        <w:t>Observação:</w:t>
      </w:r>
      <w:r>
        <w:br/>
      </w:r>
      <w:r>
        <w:t xml:space="preserve">1 - </w:t>
      </w:r>
      <w:r>
        <w:t>O GAL é uma sistema usando para gerencias e acompanhar análises laboratoriais, enviar resultados de análises e entre outros.</w:t>
      </w:r>
      <w:r>
        <w:br/>
      </w:r>
      <w:r>
        <w:t xml:space="preserve">Tarefa 2: </w:t>
      </w:r>
      <w:r>
        <w:t>Analisar o resultado do exame microbiológico;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1 - </w:t>
      </w:r>
      <w:r>
        <w:t>Caso o resultado do teste esteja alterado, a bolsa será expurgada e o registro do expurgo realizado;</w:t>
      </w:r>
      <w:r>
        <w:br/>
      </w:r>
      <w:r>
        <w:t>Tarefa 3: </w:t>
      </w:r>
      <w:r>
        <w:t>Acessar o sistema SIHRO com login e senha;</w:t>
      </w:r>
      <w:r>
        <w:br/>
      </w:r>
      <w:r>
        <w:t xml:space="preserve">Tarefa 4: </w:t>
      </w:r>
      <w:r>
        <w:t>Abrir a aba de CH e/ou  CHF;</w:t>
      </w:r>
      <w:r>
        <w:br/>
      </w:r>
      <w:r>
        <w:t xml:space="preserve">Tarefa 5: </w:t>
      </w:r>
      <w:r>
        <w:t>Verificar em quais bolsas de hemocomponentes foram realizado o teste microbiológico;</w:t>
      </w:r>
      <w:r>
        <w:br/>
      </w:r>
      <w:r>
        <w:t xml:space="preserve">Tarefa 6: </w:t>
      </w:r>
      <w:r>
        <w:t>Assinalar o resultado do teste microbiológico (ausente, presente, em análise e não realizado);</w:t>
      </w:r>
      <w:r>
        <w:br/>
      </w:r>
      <w:r>
        <w:t>Observações:</w:t>
      </w:r>
      <w:r>
        <w:br/>
      </w:r>
      <w:r>
        <w:t xml:space="preserve">1 - </w:t>
      </w:r>
      <w:r>
        <w:t>Se cresceu cultura, o sistema SIHRO terá um campo para que o técnico preencha qual foi a cultura apresentada na amostra incubada;</w:t>
      </w:r>
      <w:r>
        <w:br/>
      </w:r>
      <w:r>
        <w:t xml:space="preserve">2 - </w:t>
      </w:r>
      <w:r>
        <w:t>O sistema também terá outro campo para preencher alguma observação que o técnico julgar necessária;</w:t>
      </w:r>
      <w:r>
        <w:br/>
      </w:r>
      <w:r>
        <w:t xml:space="preserve">3 - </w:t>
      </w:r>
      <w:r>
        <w:t>O sistema SIHRO terá opção de anexar o laudo da incubação.</w:t>
      </w:r>
      <w:r>
        <w:br/>
      </w:r>
      <w:r>
        <w:t xml:space="preserve">4 - </w:t>
      </w:r>
      <w:r>
        <w:t>Se cresceu cultura, o Controle de Qualidade precisa notificar a retrovigilância (o time ainda não passou pela retrovigilância, logo não sabemos como funciona esse processo).</w:t>
      </w:r>
      <w:r>
        <w:br/>
      </w:r>
      <w:r>
        <w:t>Tarefa 7:</w:t>
      </w:r>
      <w:r>
        <w:t xml:space="preserve"> Realizar assinatura digital;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</w:t>
      </w:r>
      <w:r>
        <w:t>- O Sistema SIHRO registrará e salvará o nome do técnico responsável pelo registro das informações;</w:t>
      </w:r>
      <w:r>
        <w:br/>
      </w:r>
      <w:r>
        <w:t xml:space="preserve">2 - </w:t>
      </w:r>
      <w:r>
        <w:t>O resultado das análises deverá conter a assinatura digital do responsável (formação de nível superior), pois só poderá ser assinado por profissionais especialistas na área do exame;</w:t>
      </w:r>
      <w:r>
        <w:br/>
      </w:r>
      <w:r>
        <w:t xml:space="preserve">3 - </w:t>
      </w:r>
      <w:r>
        <w:t>Caso o responsável pelo setor não esteja disponível para realizar a assinatura digital, o resultado será disponibilizado como "prévia do exame", e ficará como pendente de assinatura.</w:t>
      </w:r>
      <w:r>
        <w:br/>
      </w:r>
      <w:r>
        <w:t xml:space="preserve">Tarefa 8: </w:t>
      </w:r>
      <w:r>
        <w:t>Apertar Ok para salvar as informações.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Ao salvar as informações,  estas serão disponibilizadas para o setor de Processamento; </w:t>
      </w:r>
    </w:p>
    <w:p>
      <w:pPr>
        <w:pStyle w:val="ModelerNormal"/>
        <w:spacing w:afterAutospacing="1"/>
      </w:pPr>
      <w:r>
        <w:t xml:space="preserve">2 - </w:t>
      </w:r>
      <w:r>
        <w:t>Após o registro das informações das análises realizadas, o sistema SIHRO será capaz de gerar relatórios em PDF dessas informações de bolsas expurgadas e bolsas aprovadas.</w:t>
      </w:r>
      <w:r>
        <w:br/>
      </w:r>
      <w:r>
        <w:t xml:space="preserve">3 - </w:t>
      </w:r>
      <w:r>
        <w:t>O Processamento receberá alerta quando os resultados das análises estiverem disponíveis no sistema SIHRO e deverá dar o aceite, confirmando que recebeu.</w:t>
      </w:r>
      <w:r>
        <w:br/>
      </w:r>
      <w:r>
        <w:br/>
      </w:r>
      <w:r>
        <w:t>Porque esta atividade acontece?</w:t>
      </w:r>
      <w:r>
        <w:br/>
      </w:r>
      <w:r>
        <w:t xml:space="preserve">Essa atividade acontece porque é necessário registrar os resultados obtidos no teste de incubação da amostra para a disponibilização, via sistema SIHRO ao setor de Processamento. </w:t>
      </w:r>
      <w:r>
        <w:br/>
      </w:r>
      <w:r>
        <w:t> 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 </w:t>
      </w:r>
      <w:r>
        <w:t>ANEXO VI</w:t>
      </w:r>
    </w:p>
    <w:p>
      <w:pPr>
        <w:pStyle w:val="ModelerNormal"/>
        <w:spacing w:afterAutospacing="1"/>
      </w:pPr>
      <w:r>
        <w:t>ESPECIFICAÇÕES DOS COMPONENTES SANGUÍNEOS - CONTROLE DE QUALIDADE</w:t>
      </w:r>
      <w:r>
        <w:br/>
      </w:r>
      <w:r>
        <w:drawing>
          <wp:inline>
            <wp:extent cx="5612130" cy="1183994"/>
            <wp:docPr id="10003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33575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183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drawing>
          <wp:inline>
            <wp:extent cx="5612130" cy="1065192"/>
            <wp:docPr id="10004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60870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065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drawing>
          <wp:inline>
            <wp:extent cx="5612130" cy="1902633"/>
            <wp:docPr id="10004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40651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90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29" w:name="_Toc256000025"/>
      <w:r>
        <w:drawing>
          <wp:inline>
            <wp:extent cx="152421" cy="152421"/>
            <wp:docPr id="47995222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27738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</w:t>
      </w:r>
      <w:bookmarkEnd w:id="29"/>
    </w:p>
    <w:p/>
    <w:p>
      <w:pPr>
        <w:pStyle w:val="bizHeading4"/>
      </w:pPr>
      <w:bookmarkStart w:id="30" w:name="_Toc256000026"/>
      <w:r>
        <w:drawing>
          <wp:inline>
            <wp:extent cx="152421" cy="152421"/>
            <wp:docPr id="183573007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42601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Retornar</w:t>
      </w:r>
      <w:bookmarkEnd w:id="30"/>
    </w:p>
    <w:p/>
    <w:p>
      <w:pPr>
        <w:pStyle w:val="bizHeading4"/>
      </w:pPr>
      <w:bookmarkStart w:id="31" w:name="_Toc256000027"/>
      <w:r>
        <w:drawing>
          <wp:inline>
            <wp:extent cx="152421" cy="152421"/>
            <wp:docPr id="109139600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61509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Retornar</w:t>
      </w:r>
      <w:bookmarkEnd w:id="31"/>
    </w:p>
    <w:p/>
    <w:p>
      <w:pPr>
        <w:pStyle w:val="bizHeading4"/>
      </w:pPr>
      <w:bookmarkStart w:id="32" w:name="_Toc256000028"/>
      <w:r>
        <w:drawing>
          <wp:inline>
            <wp:extent cx="152421" cy="152421"/>
            <wp:docPr id="124464244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36418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17. Retornar bolsa para o Processamento</w:t>
      </w:r>
      <w:bookmarkEnd w:id="32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Retornar bolsa para o Processamento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 com login e senha;</w:t>
      </w:r>
      <w:r>
        <w:br/>
      </w:r>
      <w:r>
        <w:t xml:space="preserve">Tarefa 2: </w:t>
      </w:r>
      <w:r>
        <w:t>Abrir a aba de CH e/ou CHF;</w:t>
      </w:r>
      <w:r>
        <w:br/>
      </w:r>
      <w:r>
        <w:t>Tarefa 3:</w:t>
      </w:r>
      <w:r>
        <w:t xml:space="preserve"> Verificar relação de bolsas analisadas e aprovadas;</w:t>
      </w:r>
      <w:r>
        <w:br/>
      </w:r>
      <w:r>
        <w:t>Tarefa 4:</w:t>
      </w:r>
      <w:r>
        <w:t xml:space="preserve"> </w:t>
      </w:r>
      <w:r>
        <w:t>Assinalar que as bolsas aprovadas estão retornando do setor de Controle de Qualidade para o setor de Processamento;</w:t>
      </w:r>
      <w:r>
        <w:br/>
      </w:r>
      <w:r>
        <w:t>Observações:</w:t>
      </w:r>
      <w:r>
        <w:br/>
      </w:r>
      <w:r>
        <w:t xml:space="preserve">1 - </w:t>
      </w:r>
      <w:r>
        <w:t>O sistema SIHRO terá as opção dos setores para assinalar para qual a bolsa está sendo distribuída;</w:t>
      </w:r>
      <w:r>
        <w:br/>
      </w:r>
      <w:r>
        <w:t xml:space="preserve">2 - </w:t>
      </w:r>
      <w:r>
        <w:t>O sistema SIHRO deverá ter a opção de imprimir essa relação bolsas distribuídas, bem como gerar PDF;</w:t>
      </w:r>
      <w:r>
        <w:br/>
      </w:r>
      <w:r>
        <w:t xml:space="preserve">3 - </w:t>
      </w:r>
      <w:r>
        <w:t>O Processamento conseguirá visualizar os exames realizados na bolsa de hemácias.</w:t>
      </w:r>
      <w:r>
        <w:br/>
      </w:r>
      <w:r>
        <w:t>Tarefa 5:</w:t>
      </w:r>
      <w:r>
        <w:t xml:space="preserve"> Realizar assinatura digital;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O Sistema SIHRO registrará e salvará o nome do técnico responsável pelo registro das informações;</w:t>
      </w:r>
      <w:r>
        <w:br/>
      </w:r>
      <w:r>
        <w:t xml:space="preserve">2 - </w:t>
      </w:r>
      <w:r>
        <w:t>O resultado das análises deverá conter a assinatura digital do responsável (formação de nível superior), pois só poderá ser assinado por profissionais especialistas na área do exame;</w:t>
      </w:r>
      <w:r>
        <w:br/>
      </w:r>
      <w:r>
        <w:t xml:space="preserve">3 - </w:t>
      </w:r>
      <w:r>
        <w:t>Caso o responsável pelo setor não esteja disponível para realizar a assinatura digital, o resultado será disponibilizado como "prévia do exame", e ficará como pendente de assinatura; </w:t>
      </w:r>
      <w:r>
        <w:br/>
      </w:r>
      <w:r>
        <w:t xml:space="preserve">4 - </w:t>
      </w:r>
      <w:r>
        <w:t>O sistema informará os dias em que a bolsa ficará armazenada no Controle de Qualidade automaticamente, podendo ser editável.</w:t>
      </w:r>
      <w:r>
        <w:br/>
      </w:r>
      <w:r>
        <w:t xml:space="preserve">Tarefa 5: </w:t>
      </w:r>
      <w:r>
        <w:t>Apertar Ok para salvar as informações;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1 - </w:t>
      </w:r>
      <w:r>
        <w:t>O Processamento receberá um alerta quando os resultados das análises estiverem disponíveis no sistema SIHRO e deverá dar o aceite, confirmando que o recebeu. </w:t>
      </w:r>
      <w:r>
        <w:br/>
      </w:r>
      <w:r>
        <w:t>Tarefa 6:</w:t>
      </w:r>
      <w:r>
        <w:t xml:space="preserve"> Transportar as bolsas de CH e/ou CHF físicas aprovadas e disponibiliza-las para o Processamento;</w:t>
      </w:r>
      <w:r>
        <w:br/>
      </w:r>
      <w:r>
        <w:br/>
      </w:r>
      <w:r>
        <w:t>Por que essa atividade acontece? </w:t>
      </w:r>
      <w:r>
        <w:br/>
      </w:r>
      <w:r>
        <w:t>Essa atividade acontece porque é necessário que as bolsas de hemácias analisadas e aprovadas sejam retornadas para o Processamento no sistema SIHRO, antes de levar as bolsas físicas para o setor de Produção.</w:t>
      </w:r>
    </w:p>
    <w:p>
      <w:pPr>
        <w:pStyle w:val="ModelerNormal"/>
        <w:spacing w:afterAutospacing="1"/>
      </w:pPr>
      <w:r>
        <w:t>  </w:t>
      </w:r>
    </w:p>
    <w:p>
      <w:pPr>
        <w:pStyle w:val="ModelerNormal"/>
        <w:spacing w:afterAutospacing="1"/>
      </w:pPr>
      <w:r>
        <w:drawing>
          <wp:inline>
            <wp:extent cx="4609756" cy="5086957"/>
            <wp:docPr id="10004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92080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609756" cy="5086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33" w:name="_Toc256000029"/>
      <w:r>
        <w:drawing>
          <wp:inline>
            <wp:extent cx="152421" cy="152421"/>
            <wp:docPr id="143083122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50055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18. Assinar resultados dos exames</w:t>
      </w:r>
      <w:bookmarkEnd w:id="33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 </w:t>
      </w:r>
      <w:r>
        <w:t>Assinar resultado dos exames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Abrir no sistema os exames pendentes de assinatura do responsável pelo setor de Controle de Qualidade;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>1 - O</w:t>
      </w:r>
      <w:r>
        <w:t xml:space="preserve"> sistema SIHRO deverá emitir alerta de resultados pendentes de assinatura;</w:t>
      </w:r>
      <w:r>
        <w:br/>
      </w:r>
      <w:r>
        <w:t xml:space="preserve">Tarefa 2: </w:t>
      </w:r>
      <w:r>
        <w:t>Verificar os resultados dos exames cadastrados;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1 -</w:t>
      </w:r>
      <w:r>
        <w:t xml:space="preserve"> O responsável deverá conferir os resultados cadastrados dos exames, a fim de evitar possíveis erros durante o cadastro das informações;</w:t>
      </w:r>
      <w:r>
        <w:br/>
      </w:r>
      <w:r>
        <w:t>2 -</w:t>
      </w:r>
      <w:r>
        <w:t xml:space="preserve"> Caso possua alguma inconsistência entre as informações, o responsável deverá preencher o campo de observações disponível no sistema SIHRO. Após salvar as informações, o setor de Processamento receberá alerta, notificando sobre o ocorrido.</w:t>
      </w:r>
      <w:r>
        <w:br/>
      </w:r>
      <w:r>
        <w:t>Tarefa 3:</w:t>
      </w:r>
      <w:r>
        <w:t xml:space="preserve"> Realizar assinatura digital;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>1 -</w:t>
      </w:r>
      <w:r>
        <w:t xml:space="preserve"> Os resultados dos exames realizados deverá conter a assinatura digital responsável (formação de nível superior), pois só poderá se assinado por profissionais especialistas na área do exame</w:t>
      </w:r>
      <w:r>
        <w:t>.</w:t>
      </w:r>
      <w:r>
        <w:br/>
      </w:r>
      <w:r>
        <w:t xml:space="preserve">Tarefa 4: </w:t>
      </w:r>
      <w:r>
        <w:t>Apertar Ok para salvar as informações.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 xml:space="preserve">1 - </w:t>
      </w:r>
      <w:r>
        <w:t>Ao salvar as informações, os resultados dos exames deverá constar com o status de assinado pelo responsável do setor de Controle de Qualidade.</w:t>
      </w:r>
      <w:r>
        <w:br/>
      </w:r>
      <w:r>
        <w:br/>
      </w:r>
      <w:r>
        <w:t>Porque esta atividade acontece?</w:t>
      </w:r>
      <w:r>
        <w:br/>
      </w:r>
      <w:r>
        <w:t>Essa atividade acontece porque é necessário que o responsável pelo Controle de Qualidade verifique os resultados dos exames registrados e posteriormente realize a assinatura digital, com o objetivo de minimizar erros e maximizar a segurança dos exames realizados.</w:t>
      </w:r>
      <w:r>
        <w:t> </w:t>
      </w:r>
    </w:p>
    <w:p>
      <w:pPr>
        <w:pStyle w:val="ModelerNormal"/>
        <w:spacing w:afterAutospacing="1"/>
      </w:pPr>
      <w:r>
        <w:br/>
      </w: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</w:t>
      </w:r>
    </w:p>
    <w:p>
      <w:pPr>
        <w:pStyle w:val="ModelerNormal"/>
        <w:spacing w:afterAutospacing="1"/>
      </w:pPr>
      <w:r>
        <w:t xml:space="preserve">Art. 10. Nos serviços de hemoterapia de maior complexidade, como o Hemocentro Coordenador, a responsabilidade administrativa será de profissional qualificado. Parágrafo único. O profissional qualificado de que trata o "caput" possuirá, preferencialmente, formação de nível superior em qualquer área de conhecimento e com experiência em administração ou gestão de serviços de saúde. 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34" w:name="_Toc256000030"/>
      <w:r>
        <w:drawing>
          <wp:inline>
            <wp:extent cx="152421" cy="152421"/>
            <wp:docPr id="131723037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12047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Disponibilizar prévia</w:t>
      </w:r>
      <w:bookmarkEnd w:id="34"/>
    </w:p>
    <w:p/>
    <w:p>
      <w:pPr>
        <w:pStyle w:val="bizHeading4"/>
      </w:pPr>
      <w:bookmarkStart w:id="35" w:name="_Toc256000031"/>
      <w:r>
        <w:drawing>
          <wp:inline>
            <wp:extent cx="152421" cy="152421"/>
            <wp:docPr id="200129273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36768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Disponibilizar prévia</w:t>
      </w:r>
      <w:bookmarkEnd w:id="35"/>
    </w:p>
    <w:p/>
    <w:p>
      <w:pPr>
        <w:pStyle w:val="bizHeading4"/>
      </w:pPr>
      <w:bookmarkStart w:id="36" w:name="_Toc256000032"/>
      <w:r>
        <w:drawing>
          <wp:inline>
            <wp:extent cx="152421" cy="152421"/>
            <wp:docPr id="209842901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40182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18. Dar aceite de recebimento da bolsa</w:t>
      </w:r>
      <w:bookmarkEnd w:id="3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Dar aceite de recebimento da bolsa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 com login e senha;</w:t>
      </w:r>
      <w:r>
        <w:br/>
      </w:r>
      <w:r>
        <w:t xml:space="preserve">Tarefa 2: </w:t>
      </w:r>
      <w:r>
        <w:t>Abrir a notificação de resultados disponíveis, recebida do Controle de Qualidade;</w:t>
      </w:r>
    </w:p>
    <w:p>
      <w:pPr>
        <w:pStyle w:val="ModelerNormal"/>
        <w:spacing w:afterAutospacing="1"/>
      </w:pPr>
      <w:r>
        <w:t>a aba de CH e/ou CHF;</w:t>
      </w:r>
      <w:r>
        <w:br/>
      </w:r>
      <w:r>
        <w:t>Tarefa 3:</w:t>
      </w:r>
      <w:r>
        <w:t xml:space="preserve"> Verificar a relação de bolsas analisadas e aprovadas;</w:t>
      </w:r>
      <w:r>
        <w:br/>
      </w:r>
      <w:r>
        <w:t>Observações:</w:t>
      </w:r>
      <w:r>
        <w:br/>
      </w:r>
      <w:r>
        <w:t xml:space="preserve">1 - </w:t>
      </w:r>
      <w:r>
        <w:t>Ao verificar a relação de bolsas analisadas e aprovadas, o Processamento realizará a conferência com as bolsas físicas que foram disponibilizadas pelo Controle de Qualidade;</w:t>
      </w:r>
      <w:r>
        <w:br/>
      </w:r>
      <w:r>
        <w:t xml:space="preserve">2 - </w:t>
      </w:r>
      <w:r>
        <w:t>O sistema SIHRO terá um campo para preencher as</w:t>
      </w:r>
      <w:r>
        <w:t xml:space="preserve"> observações que o técnico julgar necessária.</w:t>
      </w:r>
      <w:r>
        <w:br/>
      </w:r>
      <w:r>
        <w:t>Tarefa 4:</w:t>
      </w:r>
      <w:r>
        <w:t xml:space="preserve"> Dar o aceite confirmando que recebeu as bolsas aprovadas;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1 -</w:t>
      </w:r>
      <w:r>
        <w:t xml:space="preserve"> No sistema constará como pendente enquanto o Processamento não der o aceite confirmando o recebimento das bolsas aprovadas;</w:t>
      </w:r>
      <w:r>
        <w:t xml:space="preserve"> </w:t>
      </w:r>
      <w:r>
        <w:br/>
      </w:r>
      <w:r>
        <w:t xml:space="preserve">2 - </w:t>
      </w:r>
      <w:r>
        <w:t>Ao dar o aceite o Controle de Qualidade conseguirá visualizar que o status foi "alterado para finalizado".</w:t>
      </w:r>
      <w:r>
        <w:t> </w:t>
      </w:r>
      <w:r>
        <w:br/>
      </w:r>
      <w:r>
        <w:t xml:space="preserve">3 - </w:t>
      </w:r>
      <w:r>
        <w:t xml:space="preserve">Após a ciência no sistema, o Controle de Qualidade </w:t>
      </w:r>
      <w:r>
        <w:t>receberá uma mensagem notificando o aceite do recebimento no sistema SIHRO.</w:t>
      </w:r>
      <w:r>
        <w:t xml:space="preserve"> </w:t>
      </w:r>
      <w:r>
        <w:br/>
      </w:r>
      <w:r>
        <w:br/>
      </w:r>
      <w:r>
        <w:t>Por que essa atividade acontece?</w:t>
      </w:r>
      <w:r>
        <w:t xml:space="preserve"> </w:t>
      </w:r>
    </w:p>
    <w:p>
      <w:pPr>
        <w:pStyle w:val="ModelerNormal"/>
        <w:spacing w:afterAutospacing="1"/>
      </w:pPr>
      <w:r>
        <w:t>Essa atividade acontece porque é necessário confirmar no sistema SIHRO o recebimento das bolsas e notificar o remetente do recebido.</w:t>
      </w:r>
    </w:p>
    <w:p>
      <w:pPr>
        <w:pStyle w:val="ModelerNormal"/>
        <w:spacing w:afterAutospacing="1"/>
      </w:pPr>
      <w:r>
        <w:t>  </w:t>
      </w:r>
    </w:p>
    <w:p>
      <w:pPr>
        <w:pStyle w:val="bizHeading4"/>
      </w:pPr>
      <w:bookmarkStart w:id="37" w:name="_Toc256000033"/>
      <w:r>
        <w:drawing>
          <wp:inline>
            <wp:extent cx="152421" cy="152421"/>
            <wp:docPr id="197597319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145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</w:t>
      </w:r>
      <w:bookmarkEnd w:id="37"/>
    </w:p>
    <w:p/>
    <w:p>
      <w:pPr>
        <w:pStyle w:val="bizHeading4"/>
      </w:pPr>
      <w:bookmarkStart w:id="38" w:name="_Toc256000034"/>
      <w:r>
        <w:drawing>
          <wp:inline>
            <wp:extent cx="152421" cy="152421"/>
            <wp:docPr id="31493160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42671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Registrar expurgo</w:t>
      </w:r>
      <w:bookmarkEnd w:id="38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Sistema SIHRO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O que:</w:t>
      </w:r>
      <w:r>
        <w:t> Registrar expurgo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Quando:</w:t>
      </w: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Como:</w:t>
      </w:r>
      <w:r>
        <w:br/>
      </w:r>
      <w:r>
        <w:t>Tarefa 1: </w:t>
      </w:r>
      <w:r>
        <w:t>Acessar o sistema SIHRO com login e senha;</w:t>
      </w:r>
      <w:r>
        <w:br/>
      </w:r>
      <w:r>
        <w:t>Tarefa 2:</w:t>
      </w:r>
      <w:r>
        <w:t xml:space="preserve"> Abrir a aba de estoque de bolsas do Controle de Qualidade (bolsas que foram distribuídas para o Controle);</w:t>
      </w:r>
      <w:r>
        <w:br/>
      </w:r>
      <w:r>
        <w:t>Observação:</w:t>
      </w:r>
      <w:r>
        <w:br/>
      </w:r>
      <w:r>
        <w:t>1 -</w:t>
      </w:r>
      <w:r>
        <w:t> </w:t>
      </w:r>
      <w:r>
        <w:t>Para registrar o expurgo da bolsa, o técnico deve antes dar um aceite para confirmar que a bolsa está no estoque do Controle de Qualidade.</w:t>
      </w:r>
      <w:r>
        <w:br/>
      </w:r>
      <w:r>
        <w:t xml:space="preserve">Tarefa 3: </w:t>
      </w:r>
      <w:r>
        <w:t>Selecionar a bolsa de CH e/ou CHF a ser expurgada no sistema  SIHRO;</w:t>
      </w:r>
      <w:r>
        <w:br/>
      </w:r>
      <w:r>
        <w:t>Observação:</w:t>
      </w:r>
      <w:r>
        <w:br/>
      </w:r>
      <w:r>
        <w:t xml:space="preserve">1 -  </w:t>
      </w:r>
      <w:r>
        <w:t>Ao acessar o estoque de bolsas distribuídas do Controle de Qualidade, o técnico conseguirá selecionar a bolsa a ser expurgada;</w:t>
      </w:r>
      <w:r>
        <w:br/>
      </w:r>
      <w:r>
        <w:t>Tarefa 4:</w:t>
      </w:r>
      <w:r>
        <w:t> Assinalar o motivo de expurgo;</w:t>
      </w:r>
      <w:r>
        <w:br/>
      </w:r>
      <w:r>
        <w:t>Observações:</w:t>
      </w:r>
      <w:r>
        <w:br/>
      </w:r>
      <w:r>
        <w:t>1 - </w:t>
      </w:r>
      <w:r>
        <w:t>O sistema SIHRO terá os motivos dos descartes cadastrados, onde o técnico responsável deverá assinalar o motivo do expurgo;</w:t>
      </w:r>
      <w:r>
        <w:br/>
      </w:r>
      <w:r>
        <w:t>· Presença de grumos;</w:t>
      </w:r>
      <w:r>
        <w:br/>
      </w:r>
      <w:r>
        <w:t>· Presença de vazamento;</w:t>
      </w:r>
      <w:r>
        <w:br/>
      </w:r>
      <w:r>
        <w:t>· Alteração de cor;</w:t>
      </w:r>
      <w:r>
        <w:br/>
      </w:r>
      <w:r>
        <w:t>· Lipemia;</w:t>
      </w:r>
      <w:r>
        <w:br/>
      </w:r>
      <w:r>
        <w:t xml:space="preserve">2 - </w:t>
      </w:r>
      <w:r>
        <w:t>O sistema SIHRO terá um campo para preencher as</w:t>
      </w:r>
      <w:r>
        <w:t xml:space="preserve"> observações, que o técnico julgar necessária;</w:t>
      </w:r>
      <w:r>
        <w:br/>
      </w:r>
      <w:r>
        <w:t xml:space="preserve">3 - </w:t>
      </w:r>
      <w:r>
        <w:t>Na aba de registro de expurgo do sistema SIHRO, deve ter a opção de gerar relatórios de bolsas expurgadas.</w:t>
      </w:r>
      <w:r>
        <w:br/>
      </w:r>
      <w:r>
        <w:t xml:space="preserve">Tarefa 5: </w:t>
      </w:r>
      <w:r>
        <w:t>Clicar em expurgar bolsa;</w:t>
      </w:r>
      <w:r>
        <w:br/>
      </w:r>
      <w:r>
        <w:t>Tarefa 6: </w:t>
      </w:r>
      <w:r>
        <w:t>Descartar a bolsa de CH e/ou CHF em lixo específico.</w:t>
      </w:r>
      <w:r>
        <w:br/>
      </w:r>
      <w:r>
        <w:br/>
      </w:r>
      <w:r>
        <w:t>Por que essa atividade acontece?</w:t>
      </w:r>
      <w:r>
        <w:br/>
      </w:r>
      <w:r>
        <w:t>Essa atividade acontece porque é necessário ter o registro do expurgo para fins de rastreabilidade e a bolsa de concentrado de hemácias inapropriada para uso será descartada em lixo específico.</w:t>
      </w:r>
    </w:p>
    <w:p>
      <w:pPr>
        <w:pStyle w:val="bizHeading4"/>
      </w:pPr>
      <w:bookmarkStart w:id="39" w:name="_Toc256000035"/>
      <w:r>
        <w:drawing>
          <wp:inline>
            <wp:extent cx="152421" cy="152421"/>
            <wp:docPr id="123956022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05120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</w:t>
      </w:r>
      <w:bookmarkEnd w:id="39"/>
    </w:p>
    <w:p/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Humanst521 BT">
    <w:altName w:val="Tahoma"/>
    <w:panose1 w:val="00000000000000000000"/>
    <w:charset w:val="00"/>
    <w:family w:val="swiss"/>
    <w:pitch w:val="variable"/>
    <w:sig w:usb0="00000007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AE3ACF">
    <w:pPr>
      <w:pStyle w:val="Footer"/>
    </w:pPr>
    <w:r>
      <w:tab/>
    </w:r>
    <w:r>
      <w:fldChar w:fldCharType="begin"/>
    </w:r>
    <w:r>
      <w:instrText xml:space="preserve"> DATE   </w:instrText>
    </w:r>
    <w:r>
      <w:instrText>\@</w:instrText>
    </w:r>
    <w:r>
      <w:instrText xml:space="preserve"> </w:instrText>
    </w:r>
    <w:r>
      <w:instrText>dd/MM/yyyy</w:instrText>
    </w:r>
    <w:r>
      <w:instrText xml:space="preserve"> </w:instrText>
    </w:r>
    <w:r>
      <w:instrText>\*</w:instrText>
    </w:r>
    <w:r>
      <w:instrText xml:space="preserve"> </w:instrText>
    </w:r>
    <w:r>
      <w:instrText>MERGEFORMAT</w:instrText>
    </w:r>
    <w:r>
      <w:instrText xml:space="preserve"> </w:instrText>
    </w:r>
    <w:r>
      <w:fldChar w:fldCharType="separate"/>
    </w:r>
    <w:r w:rsidR="002D61C1">
      <w:rPr>
        <w:noProof/>
      </w:rPr>
      <w:t>07/06/2023</w:t>
    </w:r>
    <w:r>
      <w:fldChar w:fldCharType="end"/>
    </w:r>
    <w:r>
      <w:tab/>
    </w:r>
    <w:r w:rsidR="001572C1">
      <w:rPr>
        <w:rStyle w:val="PageNumber"/>
      </w:rPr>
      <w:fldChar w:fldCharType="begin"/>
    </w:r>
    <w:r w:rsidR="001572C1">
      <w:rPr>
        <w:rStyle w:val="PageNumber"/>
      </w:rPr>
      <w:instrText xml:space="preserve"> PAGE </w:instrText>
    </w:r>
    <w:r w:rsidR="001572C1">
      <w:rPr>
        <w:rStyle w:val="PageNumber"/>
      </w:rPr>
      <w:fldChar w:fldCharType="separate"/>
    </w:r>
    <w:r w:rsidR="001572C1">
      <w:rPr>
        <w:rStyle w:val="PageNumber"/>
      </w:rPr>
      <w:t>33</w:t>
    </w:r>
    <w:r w:rsidR="001572C1">
      <w:rPr>
        <w:rStyle w:val="PageNumber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 w:rsidRPr="00B603BE">
      <w:rPr>
        <w:rFonts w:ascii="Tahoma" w:hAnsi="Tahoma" w:cs="Tahoma"/>
        <w:b/>
        <w:color w:val="C0C0C0"/>
        <w:spacing w:val="140"/>
        <w:sz w:val="22"/>
        <w:szCs w:val="2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0204B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1CF02BF"/>
    <w:multiLevelType w:val="hybridMultilevel"/>
    <w:tmpl w:val="906C1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FC3410"/>
    <w:multiLevelType w:val="multilevel"/>
    <w:tmpl w:val="106A2688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04D76C24"/>
    <w:multiLevelType w:val="hybridMultilevel"/>
    <w:tmpl w:val="C674034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>
      <w:start w:val="1"/>
      <w:numFmt w:val="lowerLetter"/>
      <w:lvlText w:val="%3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  <w:color w:val="auto"/>
      </w:rPr>
    </w:lvl>
    <w:lvl w:ilvl="4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>
    <w:nsid w:val="07F97F05"/>
    <w:multiLevelType w:val="hybridMultilevel"/>
    <w:tmpl w:val="C944C52E"/>
    <w:lvl w:ilvl="0">
      <w:start w:val="1"/>
      <w:numFmt w:val="lowerLetter"/>
      <w:lvlText w:val="%1."/>
      <w:lvlJc w:val="left"/>
      <w:pPr>
        <w:tabs>
          <w:tab w:val="num" w:pos="3060"/>
        </w:tabs>
        <w:ind w:left="3060" w:hanging="360"/>
      </w:pPr>
    </w:lvl>
    <w:lvl w:ilvl="1">
      <w:start w:val="7"/>
      <w:numFmt w:val="decimal"/>
      <w:lvlText w:val="%2."/>
      <w:lvlJc w:val="left"/>
      <w:pPr>
        <w:tabs>
          <w:tab w:val="num" w:pos="3780"/>
        </w:tabs>
        <w:ind w:left="37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5">
    <w:nsid w:val="0A13321D"/>
    <w:multiLevelType w:val="multilevel"/>
    <w:tmpl w:val="4B80F1B4"/>
    <w:lvl w:ilvl="0">
      <w:start w:val="1"/>
      <w:numFmt w:val="decimal"/>
      <w:pStyle w:val="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6">
    <w:nsid w:val="155B6D8B"/>
    <w:multiLevelType w:val="hybridMultilevel"/>
    <w:tmpl w:val="941C6E78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200F1019"/>
    <w:multiLevelType w:val="multilevel"/>
    <w:tmpl w:val="C60AF0EA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29DE55A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C6D106A"/>
    <w:multiLevelType w:val="hybridMultilevel"/>
    <w:tmpl w:val="93602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CED462D"/>
    <w:multiLevelType w:val="multilevel"/>
    <w:tmpl w:val="106A2688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2EC8694B"/>
    <w:multiLevelType w:val="multilevel"/>
    <w:tmpl w:val="B65EAA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43B06977"/>
    <w:multiLevelType w:val="multilevel"/>
    <w:tmpl w:val="05B66266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4ABD67D4"/>
    <w:multiLevelType w:val="hybridMultilevel"/>
    <w:tmpl w:val="3404D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0620D54"/>
    <w:multiLevelType w:val="hybridMultilevel"/>
    <w:tmpl w:val="14DEF298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15A21B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3BF00B8"/>
    <w:multiLevelType w:val="hybridMultilevel"/>
    <w:tmpl w:val="078A7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65"/>
        </w:tabs>
        <w:ind w:left="1065" w:hanging="360"/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17">
    <w:nsid w:val="56F82B40"/>
    <w:multiLevelType w:val="hybridMultilevel"/>
    <w:tmpl w:val="F4CE168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D0B4653"/>
    <w:multiLevelType w:val="multilevel"/>
    <w:tmpl w:val="BE369C94"/>
    <w:lvl w:ilvl="0">
      <w:start w:val="1"/>
      <w:numFmt w:val="none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680" w:hanging="34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5D734B9E"/>
    <w:multiLevelType w:val="hybridMultilevel"/>
    <w:tmpl w:val="EB9A0854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0">
    <w:nsid w:val="5FB85FC1"/>
    <w:multiLevelType w:val="hybridMultilevel"/>
    <w:tmpl w:val="D430B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9C7C3A"/>
    <w:multiLevelType w:val="hybridMultilevel"/>
    <w:tmpl w:val="49EA177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69604AF8"/>
    <w:multiLevelType w:val="hybridMultilevel"/>
    <w:tmpl w:val="46F232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6A0E58DD"/>
    <w:multiLevelType w:val="hybridMultilevel"/>
    <w:tmpl w:val="FE74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D2C01"/>
    <w:multiLevelType w:val="multilevel"/>
    <w:tmpl w:val="F6DAA090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>
    <w:nsid w:val="720458A5"/>
    <w:multiLevelType w:val="multilevel"/>
    <w:tmpl w:val="D2F211A6"/>
    <w:lvl w:ilvl="0">
      <w:start w:val="1"/>
      <w:numFmt w:val="decimal"/>
      <w:lvlText w:val="PARTE %1 - 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680" w:hanging="340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008"/>
        </w:tabs>
        <w:ind w:left="1008" w:firstLine="0"/>
      </w:pPr>
      <w:rPr>
        <w:rFonts w:ascii="Symbol" w:hAnsi="Symbol"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>
    <w:nsid w:val="72C24349"/>
    <w:multiLevelType w:val="hybridMultilevel"/>
    <w:tmpl w:val="3DBE0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49C6144"/>
    <w:multiLevelType w:val="hybridMultilevel"/>
    <w:tmpl w:val="503C8282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>
    <w:nsid w:val="76975671"/>
    <w:multiLevelType w:val="hybridMultilevel"/>
    <w:tmpl w:val="07BAB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69E547F"/>
    <w:multiLevelType w:val="hybridMultilevel"/>
    <w:tmpl w:val="C7EAF0B2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32">
    <w:nsid w:val="78076813"/>
    <w:multiLevelType w:val="multilevel"/>
    <w:tmpl w:val="F7D09B92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1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>
    <w:nsid w:val="783861BA"/>
    <w:multiLevelType w:val="hybridMultilevel"/>
    <w:tmpl w:val="78ACC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90C1712"/>
    <w:multiLevelType w:val="multilevel"/>
    <w:tmpl w:val="02C0E5D2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5">
    <w:nsid w:val="7B4D7EFE"/>
    <w:multiLevelType w:val="hybridMultilevel"/>
    <w:tmpl w:val="48C64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5458C9"/>
    <w:multiLevelType w:val="multilevel"/>
    <w:tmpl w:val="5A38882A"/>
    <w:lvl w:ilvl="0">
      <w:start w:val="1"/>
      <w:numFmt w:val="decimal"/>
      <w:suff w:val="nothing"/>
      <w:lvlText w:val=" %1 -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008"/>
        </w:tabs>
        <w:ind w:left="648" w:hanging="14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368"/>
        </w:tabs>
        <w:ind w:left="108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9"/>
  </w:num>
  <w:num w:numId="2">
    <w:abstractNumId w:val="28"/>
  </w:num>
  <w:num w:numId="3">
    <w:abstractNumId w:val="23"/>
  </w:num>
  <w:num w:numId="4">
    <w:abstractNumId w:val="1"/>
  </w:num>
  <w:num w:numId="5">
    <w:abstractNumId w:val="16"/>
  </w:num>
  <w:num w:numId="6">
    <w:abstractNumId w:val="20"/>
  </w:num>
  <w:num w:numId="7">
    <w:abstractNumId w:val="22"/>
  </w:num>
  <w:num w:numId="8">
    <w:abstractNumId w:val="13"/>
  </w:num>
  <w:num w:numId="9">
    <w:abstractNumId w:val="3"/>
  </w:num>
  <w:num w:numId="10">
    <w:abstractNumId w:val="31"/>
  </w:num>
  <w:num w:numId="11">
    <w:abstractNumId w:val="9"/>
  </w:num>
  <w:num w:numId="12">
    <w:abstractNumId w:val="30"/>
  </w:num>
  <w:num w:numId="13">
    <w:abstractNumId w:val="6"/>
  </w:num>
  <w:num w:numId="14">
    <w:abstractNumId w:val="21"/>
  </w:num>
  <w:num w:numId="15">
    <w:abstractNumId w:val="4"/>
  </w:num>
  <w:num w:numId="16">
    <w:abstractNumId w:val="11"/>
  </w:num>
  <w:num w:numId="17">
    <w:abstractNumId w:val="17"/>
  </w:num>
  <w:num w:numId="18">
    <w:abstractNumId w:val="14"/>
  </w:num>
  <w:num w:numId="19">
    <w:abstractNumId w:val="29"/>
  </w:num>
  <w:num w:numId="20">
    <w:abstractNumId w:val="35"/>
  </w:num>
  <w:num w:numId="21">
    <w:abstractNumId w:val="33"/>
  </w:num>
  <w:num w:numId="22">
    <w:abstractNumId w:val="18"/>
  </w:num>
  <w:num w:numId="23">
    <w:abstractNumId w:val="32"/>
  </w:num>
  <w:num w:numId="24">
    <w:abstractNumId w:val="26"/>
  </w:num>
  <w:num w:numId="25">
    <w:abstractNumId w:val="7"/>
  </w:num>
  <w:num w:numId="26">
    <w:abstractNumId w:val="12"/>
  </w:num>
  <w:num w:numId="27">
    <w:abstractNumId w:val="2"/>
  </w:num>
  <w:num w:numId="28">
    <w:abstractNumId w:val="10"/>
  </w:num>
  <w:num w:numId="29">
    <w:abstractNumId w:val="34"/>
  </w:num>
  <w:num w:numId="30">
    <w:abstractNumId w:val="18"/>
  </w:num>
  <w:num w:numId="31">
    <w:abstractNumId w:val="18"/>
  </w:num>
  <w:num w:numId="32">
    <w:abstractNumId w:val="18"/>
  </w:num>
  <w:num w:numId="33">
    <w:abstractNumId w:val="5"/>
  </w:num>
  <w:num w:numId="34">
    <w:abstractNumId w:val="8"/>
  </w:num>
  <w:num w:numId="35">
    <w:abstractNumId w:val="5"/>
  </w:num>
  <w:num w:numId="36">
    <w:abstractNumId w:val="5"/>
  </w:num>
  <w:num w:numId="37">
    <w:abstractNumId w:val="24"/>
  </w:num>
  <w:num w:numId="38">
    <w:abstractNumId w:val="5"/>
  </w:num>
  <w:num w:numId="39">
    <w:abstractNumId w:val="5"/>
  </w:num>
  <w:num w:numId="40">
    <w:abstractNumId w:val="5"/>
  </w:num>
  <w:num w:numId="41">
    <w:abstractNumId w:val="5"/>
  </w:num>
  <w:num w:numId="42">
    <w:abstractNumId w:val="27"/>
  </w:num>
  <w:num w:numId="43">
    <w:abstractNumId w:val="15"/>
  </w:num>
  <w:num w:numId="44">
    <w:abstractNumId w:val="5"/>
  </w:num>
  <w:num w:numId="45">
    <w:abstractNumId w:val="36"/>
  </w:num>
  <w:num w:numId="46">
    <w:abstractNumId w:val="25"/>
  </w:num>
  <w:num w:numId="4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61C1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5BD9"/>
    <w:rsid w:val="0003100E"/>
    <w:rsid w:val="000400C4"/>
    <w:rsid w:val="00045378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3713"/>
    <w:rsid w:val="000F5064"/>
    <w:rsid w:val="000F5CBC"/>
    <w:rsid w:val="00100479"/>
    <w:rsid w:val="00105188"/>
    <w:rsid w:val="00105811"/>
    <w:rsid w:val="00115201"/>
    <w:rsid w:val="0011555F"/>
    <w:rsid w:val="001244D0"/>
    <w:rsid w:val="001320EC"/>
    <w:rsid w:val="00133DB2"/>
    <w:rsid w:val="00133EAB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3048"/>
    <w:rsid w:val="001C22BE"/>
    <w:rsid w:val="001C251F"/>
    <w:rsid w:val="001D77FC"/>
    <w:rsid w:val="001E527D"/>
    <w:rsid w:val="001F043C"/>
    <w:rsid w:val="001F3B82"/>
    <w:rsid w:val="001F5161"/>
    <w:rsid w:val="001F5727"/>
    <w:rsid w:val="00203170"/>
    <w:rsid w:val="0021548A"/>
    <w:rsid w:val="00216656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945BF"/>
    <w:rsid w:val="002A1FD5"/>
    <w:rsid w:val="002B3EFE"/>
    <w:rsid w:val="002B65BB"/>
    <w:rsid w:val="002B7464"/>
    <w:rsid w:val="002B7F64"/>
    <w:rsid w:val="002C4B5D"/>
    <w:rsid w:val="002C6201"/>
    <w:rsid w:val="002D20E4"/>
    <w:rsid w:val="002D6001"/>
    <w:rsid w:val="002D61C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5DA2"/>
    <w:rsid w:val="00353FC8"/>
    <w:rsid w:val="00362E19"/>
    <w:rsid w:val="0036453B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C1C42"/>
    <w:rsid w:val="003C45DE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14DCE"/>
    <w:rsid w:val="00422C9A"/>
    <w:rsid w:val="004255C7"/>
    <w:rsid w:val="00425E09"/>
    <w:rsid w:val="00430B6F"/>
    <w:rsid w:val="0043331B"/>
    <w:rsid w:val="00440553"/>
    <w:rsid w:val="00443780"/>
    <w:rsid w:val="00447241"/>
    <w:rsid w:val="004478F1"/>
    <w:rsid w:val="00447FB2"/>
    <w:rsid w:val="00450B29"/>
    <w:rsid w:val="00450C9F"/>
    <w:rsid w:val="00451BB4"/>
    <w:rsid w:val="00456DF1"/>
    <w:rsid w:val="00463FAD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B4C"/>
    <w:rsid w:val="004C2A9C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91299"/>
    <w:rsid w:val="00591489"/>
    <w:rsid w:val="005A0321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78FA"/>
    <w:rsid w:val="0066431A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B0908"/>
    <w:rsid w:val="006C2187"/>
    <w:rsid w:val="006C5BC9"/>
    <w:rsid w:val="006E0689"/>
    <w:rsid w:val="006E2B36"/>
    <w:rsid w:val="006F44CE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A2CFF"/>
    <w:rsid w:val="007B3313"/>
    <w:rsid w:val="007B663B"/>
    <w:rsid w:val="007C4D01"/>
    <w:rsid w:val="007C5A5C"/>
    <w:rsid w:val="007D4C61"/>
    <w:rsid w:val="007D63D4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3316"/>
    <w:rsid w:val="00846E73"/>
    <w:rsid w:val="00854218"/>
    <w:rsid w:val="008606E1"/>
    <w:rsid w:val="0086088C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95FDF"/>
    <w:rsid w:val="009A4204"/>
    <w:rsid w:val="009A6F62"/>
    <w:rsid w:val="009B7DFE"/>
    <w:rsid w:val="009C06B5"/>
    <w:rsid w:val="009C2C93"/>
    <w:rsid w:val="009C72BB"/>
    <w:rsid w:val="009F1800"/>
    <w:rsid w:val="009F5920"/>
    <w:rsid w:val="009F7A0D"/>
    <w:rsid w:val="00A07FA6"/>
    <w:rsid w:val="00A13634"/>
    <w:rsid w:val="00A179CB"/>
    <w:rsid w:val="00A2192D"/>
    <w:rsid w:val="00A221E1"/>
    <w:rsid w:val="00A262B2"/>
    <w:rsid w:val="00A363ED"/>
    <w:rsid w:val="00A40C1F"/>
    <w:rsid w:val="00A47B9C"/>
    <w:rsid w:val="00A50CAC"/>
    <w:rsid w:val="00A52BFA"/>
    <w:rsid w:val="00A55D18"/>
    <w:rsid w:val="00A61739"/>
    <w:rsid w:val="00A65310"/>
    <w:rsid w:val="00A66741"/>
    <w:rsid w:val="00A6763D"/>
    <w:rsid w:val="00A74F07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A3B32"/>
    <w:rsid w:val="00BC2FC0"/>
    <w:rsid w:val="00BC3029"/>
    <w:rsid w:val="00BC532D"/>
    <w:rsid w:val="00BD71BF"/>
    <w:rsid w:val="00BE42AC"/>
    <w:rsid w:val="00BE7281"/>
    <w:rsid w:val="00BF1BBD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60046"/>
    <w:rsid w:val="00C624DC"/>
    <w:rsid w:val="00C63FE5"/>
    <w:rsid w:val="00C642B2"/>
    <w:rsid w:val="00C7009A"/>
    <w:rsid w:val="00C71E9B"/>
    <w:rsid w:val="00C71EF7"/>
    <w:rsid w:val="00C72EA3"/>
    <w:rsid w:val="00C83A4B"/>
    <w:rsid w:val="00C83CDD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E7D6F"/>
    <w:rsid w:val="00CF068B"/>
    <w:rsid w:val="00CF394B"/>
    <w:rsid w:val="00CF449C"/>
    <w:rsid w:val="00CF6D90"/>
    <w:rsid w:val="00D00E81"/>
    <w:rsid w:val="00D03D21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7C6"/>
    <w:rsid w:val="00D33BAA"/>
    <w:rsid w:val="00D37268"/>
    <w:rsid w:val="00D37C8C"/>
    <w:rsid w:val="00D4476F"/>
    <w:rsid w:val="00D55F51"/>
    <w:rsid w:val="00D6529A"/>
    <w:rsid w:val="00D65A66"/>
    <w:rsid w:val="00D95D67"/>
    <w:rsid w:val="00DA3C7A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E00DE0"/>
    <w:rsid w:val="00E07B66"/>
    <w:rsid w:val="00E23E4D"/>
    <w:rsid w:val="00E25804"/>
    <w:rsid w:val="00E266FC"/>
    <w:rsid w:val="00E30D39"/>
    <w:rsid w:val="00E3338A"/>
    <w:rsid w:val="00E366F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2ABC"/>
    <w:rsid w:val="00F03869"/>
    <w:rsid w:val="00F05139"/>
    <w:rsid w:val="00F05C3B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7B7"/>
    <w:rsid w:val="00F94FFC"/>
    <w:rsid w:val="00FA249B"/>
    <w:rsid w:val="00FB7EAB"/>
    <w:rsid w:val="00FC763C"/>
    <w:rsid w:val="00FD0416"/>
    <w:rsid w:val="00FD2EB6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133EAB"/>
    <w:pPr>
      <w:spacing w:before="120"/>
    </w:pPr>
    <w:rPr>
      <w:rFonts w:ascii="Verdana" w:hAnsi="Verdana"/>
      <w:lang w:val="en-US" w:eastAsia="es-ES" w:bidi="ar-SA"/>
    </w:rPr>
  </w:style>
  <w:style w:type="paragraph" w:styleId="Heading1">
    <w:name w:val="heading 1"/>
    <w:aliases w:val="ModelerHeading1"/>
    <w:basedOn w:val="Normal"/>
    <w:next w:val="Normal"/>
    <w:link w:val="Heading1Char"/>
    <w:autoRedefine/>
    <w:qFormat/>
    <w:rsid w:val="00216656"/>
    <w:pPr>
      <w:keepNext/>
      <w:pageBreakBefore/>
      <w:numPr>
        <w:ilvl w:val="0"/>
        <w:numId w:val="44"/>
      </w:numPr>
      <w:spacing w:before="0" w:after="60"/>
      <w:jc w:val="left"/>
      <w:outlineLvl w:val="0"/>
    </w:pPr>
    <w:rPr>
      <w:rFonts w:ascii="Segoe UI Semilight" w:hAnsi="Segoe UI Semilight"/>
      <w:iCs/>
      <w:caps/>
      <w:shadow/>
      <w:spacing w:val="50"/>
      <w:kern w:val="28"/>
      <w:sz w:val="40"/>
    </w:rPr>
  </w:style>
  <w:style w:type="paragraph" w:styleId="Heading2">
    <w:name w:val="heading 2"/>
    <w:basedOn w:val="Normal"/>
    <w:next w:val="Normal"/>
    <w:autoRedefine/>
    <w:qFormat/>
    <w:rsid w:val="00216656"/>
    <w:pPr>
      <w:keepNext/>
      <w:numPr>
        <w:ilvl w:val="1"/>
        <w:numId w:val="44"/>
      </w:numPr>
      <w:spacing w:before="240" w:after="100" w:afterAutospacing="1"/>
      <w:outlineLvl w:val="1"/>
    </w:pPr>
    <w:rPr>
      <w:rFonts w:ascii="Segoe UI Semilight" w:hAnsi="Segoe UI Semilight"/>
      <w:b/>
      <w:caps/>
      <w:spacing w:val="98"/>
      <w:sz w:val="28"/>
      <w:szCs w:val="28"/>
      <w:lang w:val="es-ES_tradnl"/>
    </w:rPr>
  </w:style>
  <w:style w:type="paragraph" w:styleId="Heading3">
    <w:name w:val="heading 3"/>
    <w:basedOn w:val="Normal"/>
    <w:next w:val="Normal"/>
    <w:autoRedefine/>
    <w:qFormat/>
    <w:rsid w:val="00216656"/>
    <w:pPr>
      <w:keepNext/>
      <w:numPr>
        <w:ilvl w:val="2"/>
        <w:numId w:val="44"/>
      </w:numPr>
      <w:pBdr>
        <w:top w:val="single" w:sz="4" w:space="1" w:color="auto"/>
      </w:pBdr>
      <w:spacing w:before="240" w:after="60"/>
      <w:outlineLvl w:val="2"/>
    </w:pPr>
    <w:rPr>
      <w:rFonts w:ascii="Segoe UI Semilight" w:hAnsi="Segoe UI Semilight"/>
      <w:b/>
      <w:caps/>
      <w:sz w:val="24"/>
      <w:szCs w:val="24"/>
    </w:rPr>
  </w:style>
  <w:style w:type="paragraph" w:styleId="Heading4">
    <w:name w:val="heading 4"/>
    <w:basedOn w:val="Normal"/>
    <w:next w:val="Normal4"/>
    <w:qFormat/>
    <w:rsid w:val="00216656"/>
    <w:pPr>
      <w:keepNext/>
      <w:numPr>
        <w:ilvl w:val="3"/>
        <w:numId w:val="44"/>
      </w:numPr>
      <w:spacing w:after="60"/>
      <w:outlineLvl w:val="3"/>
    </w:pPr>
    <w:rPr>
      <w:rFonts w:ascii="Segoe UI Semilight" w:hAnsi="Segoe UI Semilight"/>
      <w:b/>
      <w:bCs/>
    </w:rPr>
  </w:style>
  <w:style w:type="paragraph" w:styleId="Heading5">
    <w:name w:val="heading 5"/>
    <w:basedOn w:val="Normal"/>
    <w:next w:val="Normal5"/>
    <w:autoRedefine/>
    <w:qFormat/>
    <w:rsid w:val="00216656"/>
    <w:pPr>
      <w:numPr>
        <w:ilvl w:val="4"/>
        <w:numId w:val="44"/>
      </w:numPr>
      <w:outlineLvl w:val="4"/>
    </w:pPr>
    <w:rPr>
      <w:rFonts w:ascii="Segoe UI Semilight" w:hAnsi="Segoe UI Semilight"/>
      <w:b/>
      <w:bCs/>
      <w:iCs/>
    </w:rPr>
  </w:style>
  <w:style w:type="paragraph" w:styleId="Heading6">
    <w:name w:val="heading 6"/>
    <w:basedOn w:val="Normal"/>
    <w:next w:val="Normal"/>
    <w:autoRedefine/>
    <w:qFormat/>
    <w:rsid w:val="00216656"/>
    <w:pPr>
      <w:numPr>
        <w:ilvl w:val="5"/>
        <w:numId w:val="44"/>
      </w:numPr>
      <w:spacing w:before="240" w:after="60"/>
      <w:outlineLvl w:val="5"/>
    </w:pPr>
    <w:rPr>
      <w:rFonts w:ascii="Segoe UI Semilight" w:hAnsi="Segoe UI Semilight"/>
      <w:bCs/>
    </w:rPr>
  </w:style>
  <w:style w:type="paragraph" w:styleId="Heading7">
    <w:name w:val="heading 7"/>
    <w:basedOn w:val="Normal"/>
    <w:next w:val="Normal"/>
    <w:qFormat/>
    <w:rsid w:val="00216656"/>
    <w:pPr>
      <w:numPr>
        <w:ilvl w:val="6"/>
        <w:numId w:val="44"/>
      </w:numPr>
      <w:spacing w:before="240" w:after="60"/>
      <w:outlineLvl w:val="6"/>
    </w:pPr>
    <w:rPr>
      <w:rFonts w:ascii="Segoe UI Semilight" w:hAnsi="Segoe UI Semilight"/>
      <w:sz w:val="24"/>
      <w:szCs w:val="24"/>
    </w:rPr>
  </w:style>
  <w:style w:type="paragraph" w:styleId="Heading8">
    <w:name w:val="heading 8"/>
    <w:basedOn w:val="Normal"/>
    <w:next w:val="Normal"/>
    <w:qFormat/>
    <w:rsid w:val="00216656"/>
    <w:pPr>
      <w:numPr>
        <w:ilvl w:val="7"/>
        <w:numId w:val="44"/>
      </w:numPr>
      <w:spacing w:before="240" w:after="60"/>
      <w:outlineLvl w:val="7"/>
    </w:pPr>
    <w:rPr>
      <w:rFonts w:ascii="Segoe UI Semilight" w:hAnsi="Segoe UI Semilight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216656"/>
    <w:pPr>
      <w:numPr>
        <w:ilvl w:val="8"/>
        <w:numId w:val="44"/>
      </w:numPr>
      <w:spacing w:before="240" w:after="60"/>
      <w:outlineLvl w:val="8"/>
    </w:pPr>
    <w:rPr>
      <w:rFonts w:ascii="Segoe UI Semilight" w:hAnsi="Segoe UI Semilight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1Char">
    <w:name w:val="Heading 1 Char"/>
    <w:aliases w:val="ModelerHeading1 Char"/>
    <w:link w:val="Heading1"/>
    <w:rsid w:val="00216656"/>
    <w:rPr>
      <w:rFonts w:ascii="Segoe UI Semilight" w:hAnsi="Segoe UI Semilight"/>
      <w:iCs/>
      <w:caps/>
      <w:shadow/>
      <w:spacing w:val="50"/>
      <w:kern w:val="28"/>
      <w:sz w:val="40"/>
      <w:lang w:val="en-US" w:eastAsia="es-ES"/>
    </w:rPr>
  </w:style>
  <w:style w:type="paragraph" w:styleId="TOC1">
    <w:name w:val="toc 1"/>
    <w:basedOn w:val="Normal"/>
    <w:next w:val="Normal"/>
    <w:autoRedefine/>
    <w:semiHidden/>
    <w:rsid w:val="00C43BBD"/>
    <w:pPr>
      <w:jc w:val="left"/>
    </w:pPr>
    <w:rPr>
      <w:caps/>
      <w:lang w:val="es-ES_tradnl"/>
    </w:rPr>
  </w:style>
  <w:style w:type="paragraph" w:styleId="TOC2">
    <w:name w:val="toc 2"/>
    <w:basedOn w:val="Normal"/>
    <w:next w:val="Normal"/>
    <w:autoRedefine/>
    <w:semiHidden/>
    <w:rsid w:val="00C43BBD"/>
    <w:pPr>
      <w:tabs>
        <w:tab w:val="right" w:leader="dot" w:pos="8828"/>
      </w:tabs>
      <w:spacing w:before="0"/>
      <w:ind w:left="198"/>
    </w:pPr>
    <w:rPr>
      <w:smallCaps/>
    </w:rPr>
  </w:style>
  <w:style w:type="paragraph" w:styleId="TOC3">
    <w:name w:val="toc 3"/>
    <w:basedOn w:val="Normal"/>
    <w:next w:val="Normal"/>
    <w:autoRedefine/>
    <w:semiHidden/>
    <w:rsid w:val="00A55D18"/>
    <w:pPr>
      <w:tabs>
        <w:tab w:val="right" w:leader="dot" w:pos="8828"/>
      </w:tabs>
      <w:spacing w:before="0"/>
      <w:ind w:left="403"/>
    </w:pPr>
    <w:rPr>
      <w:noProof/>
      <w:color w:val="000000"/>
      <w:lang w:val="es-ES"/>
    </w:rPr>
  </w:style>
  <w:style w:type="character" w:styleId="Hyperlink">
    <w:name w:val="Hyperlink"/>
    <w:rsid w:val="00A55D18"/>
    <w:rPr>
      <w:color w:val="0000FF"/>
      <w:u w:val="single"/>
    </w:rPr>
  </w:style>
  <w:style w:type="paragraph" w:styleId="Header">
    <w:name w:val="header"/>
    <w:basedOn w:val="Normal"/>
    <w:rsid w:val="00A55D18"/>
    <w:pPr>
      <w:tabs>
        <w:tab w:val="center" w:pos="4419"/>
        <w:tab w:val="right" w:pos="8838"/>
      </w:tabs>
    </w:pPr>
  </w:style>
  <w:style w:type="paragraph" w:styleId="Footer">
    <w:name w:val="footer"/>
    <w:basedOn w:val="Normal"/>
    <w:rsid w:val="00A55D18"/>
    <w:pPr>
      <w:tabs>
        <w:tab w:val="center" w:pos="4419"/>
        <w:tab w:val="right" w:pos="8838"/>
      </w:tabs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rsid w:val="00A55D18"/>
    <w:rPr>
      <w:rFonts w:ascii="Humanst521 BT" w:hAnsi="Humanst521 BT"/>
      <w:iCs/>
      <w:caps/>
      <w:shadow/>
      <w:color w:val="333333"/>
      <w:spacing w:val="50"/>
      <w:kern w:val="28"/>
      <w:sz w:val="40"/>
      <w:lang w:val="es-CO" w:eastAsia="es-ES" w:bidi="ar-SA"/>
    </w:rPr>
  </w:style>
  <w:style w:type="paragraph" w:styleId="BodyText">
    <w:name w:val="Body Text"/>
    <w:basedOn w:val="Normal"/>
    <w:link w:val="BodyTextChar"/>
    <w:rsid w:val="004255C7"/>
    <w:pPr>
      <w:spacing w:before="0"/>
    </w:pPr>
    <w:rPr>
      <w:bCs/>
    </w:rPr>
  </w:style>
  <w:style w:type="table" w:styleId="TableGrid">
    <w:name w:val="Table Grid"/>
    <w:basedOn w:val="TableNormal"/>
    <w:semiHidden/>
    <w:rsid w:val="004255C7"/>
    <w:pPr>
      <w:spacing w:before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pPr>
      <w:pageBreakBefore w:val="0"/>
    </w:pPr>
    <w:rPr>
      <w:b/>
      <w:bCs/>
      <w:iCs w:val="0"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5A0321"/>
    <w:pPr>
      <w:numPr>
        <w:ilvl w:val="0"/>
        <w:numId w:val="0"/>
      </w:numPr>
    </w:pPr>
    <w:rPr>
      <w:color w:val="0081C6"/>
    </w:rPr>
  </w:style>
  <w:style w:type="numbering" w:customStyle="1" w:styleId="Lista">
    <w:name w:val="Lista"/>
    <w:basedOn w:val="NoList"/>
    <w:rsid w:val="007741DF"/>
    <w:pPr>
      <w:numPr>
        <w:numId w:val="37"/>
      </w:numPr>
    </w:pPr>
  </w:style>
  <w:style w:type="paragraph" w:customStyle="1" w:styleId="Normal4">
    <w:name w:val="Normal4"/>
    <w:basedOn w:val="Normal"/>
    <w:rsid w:val="00216656"/>
    <w:pPr>
      <w:ind w:left="504"/>
    </w:pPr>
    <w:rPr>
      <w:rFonts w:ascii="Segoe UI Semilight" w:hAnsi="Segoe UI Semilight"/>
      <w:lang w:val="es-ES_tradnl"/>
    </w:rPr>
  </w:style>
  <w:style w:type="paragraph" w:styleId="TOC5">
    <w:name w:val="toc 5"/>
    <w:basedOn w:val="Normal"/>
    <w:next w:val="Normal"/>
    <w:autoRedefine/>
    <w:semiHidden/>
    <w:rsid w:val="00854218"/>
    <w:pPr>
      <w:ind w:left="800"/>
    </w:p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Normal"/>
    <w:rsid w:val="00216656"/>
    <w:rPr>
      <w:rFonts w:ascii="Segoe UI Semilight" w:hAnsi="Segoe UI Semilight"/>
    </w:rPr>
  </w:style>
  <w:style w:type="paragraph" w:customStyle="1" w:styleId="bizHeading1">
    <w:name w:val="bizHeading1"/>
    <w:basedOn w:val="Heading1"/>
    <w:next w:val="Normal"/>
    <w:rsid w:val="005A0321"/>
    <w:rPr>
      <w:color w:val="0081C6"/>
      <w:sz w:val="32"/>
    </w:rPr>
  </w:style>
  <w:style w:type="paragraph" w:customStyle="1" w:styleId="bizHeading2">
    <w:name w:val="bizHeading2"/>
    <w:basedOn w:val="Heading2"/>
    <w:next w:val="Normal"/>
    <w:rsid w:val="00C83CDD"/>
    <w:rPr>
      <w:color w:val="0081C6"/>
      <w:lang w:val="en-US"/>
    </w:rPr>
  </w:style>
  <w:style w:type="paragraph" w:customStyle="1" w:styleId="bizHeading3">
    <w:name w:val="bizHeading3"/>
    <w:basedOn w:val="Heading3"/>
    <w:next w:val="Normal"/>
    <w:rsid w:val="005A0321"/>
    <w:rPr>
      <w:color w:val="0081C6"/>
    </w:rPr>
  </w:style>
  <w:style w:type="paragraph" w:customStyle="1" w:styleId="bizHeading4">
    <w:name w:val="bizHeading4"/>
    <w:basedOn w:val="Heading4"/>
    <w:next w:val="Normal4"/>
    <w:rsid w:val="005A0321"/>
    <w:rPr>
      <w:color w:val="0081C6"/>
    </w:rPr>
  </w:style>
  <w:style w:type="paragraph" w:customStyle="1" w:styleId="bizHeading5">
    <w:name w:val="bizHeading5"/>
    <w:basedOn w:val="Heading5"/>
    <w:next w:val="Normal5"/>
    <w:rsid w:val="005A0321"/>
    <w:rPr>
      <w:color w:val="0081C6"/>
    </w:rPr>
  </w:style>
  <w:style w:type="paragraph" w:styleId="BalloonText">
    <w:name w:val="Balloon Text"/>
    <w:basedOn w:val="Normal"/>
    <w:link w:val="BalloonTextChar"/>
    <w:rsid w:val="008C2CEA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C2CEA"/>
    <w:rPr>
      <w:rFonts w:ascii="Tahoma" w:hAnsi="Tahoma" w:cs="Tahoma"/>
      <w:sz w:val="16"/>
      <w:szCs w:val="16"/>
      <w:lang w:val="es-CO" w:eastAsia="es-ES"/>
    </w:rPr>
  </w:style>
  <w:style w:type="paragraph" w:customStyle="1" w:styleId="ModelerNormal">
    <w:name w:val="ModelerNormal"/>
    <w:basedOn w:val="Normal"/>
    <w:qFormat/>
    <w:rsid w:val="00216656"/>
    <w:rPr>
      <w:rFonts w:ascii="Segoe UI Semilight" w:hAnsi="Segoe UI Semilight"/>
    </w:rPr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 w:val="0"/>
      <w:sz w:val="20"/>
    </w:rPr>
  </w:style>
  <w:style w:type="paragraph" w:customStyle="1" w:styleId="bizHeadingBAS2">
    <w:name w:val="bizHeadingBAS2"/>
    <w:basedOn w:val="bizHeading2"/>
    <w:next w:val="Normal"/>
    <w:rsid w:val="00216656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216656"/>
    <w:pPr>
      <w:numPr>
        <w:ilvl w:val="0"/>
        <w:numId w:val="46"/>
      </w:numPr>
    </w:pPr>
    <w:rPr>
      <w:rFonts w:ascii="Segoe UI Semilight" w:hAnsi="Segoe UI Semilight"/>
    </w:rPr>
  </w:style>
  <w:style w:type="paragraph" w:customStyle="1" w:styleId="bizTitle">
    <w:name w:val="bizTitle"/>
    <w:basedOn w:val="Title"/>
    <w:next w:val="Title"/>
    <w:link w:val="bizTitleChar"/>
    <w:qFormat/>
    <w:rsid w:val="005A0321"/>
    <w:pPr>
      <w:jc w:val="right"/>
    </w:pPr>
    <w:rPr>
      <w:rFonts w:ascii="Segoe UI" w:hAnsi="Segoe UI"/>
      <w:color w:val="0081C6"/>
      <w:sz w:val="48"/>
    </w:rPr>
  </w:style>
  <w:style w:type="paragraph" w:customStyle="1" w:styleId="bizSubtitle">
    <w:name w:val="bizSubtitle"/>
    <w:basedOn w:val="Subtitle"/>
    <w:next w:val="Subtitle"/>
    <w:link w:val="bizSubtitleChar"/>
    <w:qFormat/>
    <w:rsid w:val="005A0321"/>
    <w:pPr>
      <w:jc w:val="right"/>
    </w:pPr>
    <w:rPr>
      <w:rFonts w:ascii="Segoe UI Semilight" w:hAnsi="Segoe UI Semilight"/>
      <w:color w:val="0081C6"/>
      <w:sz w:val="32"/>
    </w:rPr>
  </w:style>
  <w:style w:type="character" w:customStyle="1" w:styleId="BodyTextChar">
    <w:name w:val="Body Text Char"/>
    <w:link w:val="BodyText"/>
    <w:rsid w:val="004F1444"/>
    <w:rPr>
      <w:rFonts w:ascii="Verdana" w:hAnsi="Verdana"/>
      <w:bCs/>
      <w:lang w:eastAsia="es-ES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paragraph" w:styleId="Title">
    <w:name w:val="Title"/>
    <w:basedOn w:val="Normal"/>
    <w:next w:val="Normal"/>
    <w:link w:val="TitleChar"/>
    <w:qFormat/>
    <w:rsid w:val="00216656"/>
    <w:pPr>
      <w:spacing w:before="240" w:after="60"/>
      <w:jc w:val="center"/>
      <w:outlineLvl w:val="0"/>
    </w:pPr>
    <w:rPr>
      <w:rFonts w:ascii="Segoe UI Semilight" w:hAnsi="Segoe UI Semilight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216656"/>
    <w:rPr>
      <w:rFonts w:ascii="Segoe UI Semilight" w:hAnsi="Segoe UI Semilight" w:cs="Vrinda"/>
      <w:b/>
      <w:bCs/>
      <w:kern w:val="28"/>
      <w:sz w:val="32"/>
      <w:szCs w:val="32"/>
      <w:lang w:val="en-US" w:eastAsia="es-ES"/>
    </w:rPr>
  </w:style>
  <w:style w:type="character" w:customStyle="1" w:styleId="bizTitleChar">
    <w:name w:val="bizTitle Char"/>
    <w:link w:val="bizTitle"/>
    <w:rsid w:val="005A0321"/>
    <w:rPr>
      <w:rFonts w:ascii="Segoe UI" w:hAnsi="Segoe UI" w:cs="Vrinda"/>
      <w:b/>
      <w:bCs/>
      <w:color w:val="0081C6"/>
      <w:kern w:val="28"/>
      <w:sz w:val="48"/>
      <w:szCs w:val="32"/>
      <w:lang w:val="en-US" w:eastAsia="es-ES"/>
    </w:rPr>
  </w:style>
  <w:style w:type="paragraph" w:customStyle="1" w:styleId="BoldModelerNormal">
    <w:name w:val="BoldModelerNormal"/>
    <w:basedOn w:val="ModelerNormal"/>
    <w:next w:val="ModelerNormal"/>
    <w:qFormat/>
    <w:rsid w:val="003C45DE"/>
    <w:rPr>
      <w:b/>
    </w:rPr>
  </w:style>
  <w:style w:type="paragraph" w:styleId="Subtitle">
    <w:name w:val="Subtitle"/>
    <w:basedOn w:val="Normal"/>
    <w:next w:val="Normal"/>
    <w:link w:val="SubtitleChar"/>
    <w:qFormat/>
    <w:rsid w:val="0010047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rsid w:val="00100479"/>
    <w:rPr>
      <w:rFonts w:ascii="Cambria" w:eastAsia="Times New Roman" w:hAnsi="Cambria" w:cs="Vrinda"/>
      <w:sz w:val="24"/>
      <w:szCs w:val="24"/>
      <w:lang w:val="en-US" w:eastAsia="es-ES" w:bidi="ar-SA"/>
    </w:rPr>
  </w:style>
  <w:style w:type="character" w:customStyle="1" w:styleId="bizSubtitleChar">
    <w:name w:val="bizSubtitle Char"/>
    <w:link w:val="bizSubtitle"/>
    <w:rsid w:val="005A0321"/>
    <w:rPr>
      <w:rFonts w:ascii="Segoe UI Semilight" w:hAnsi="Segoe UI Semilight" w:cs="Vrinda"/>
      <w:color w:val="0081C6"/>
      <w:sz w:val="32"/>
      <w:szCs w:val="24"/>
      <w:lang w:val="en-US" w:eastAsia="es-ES"/>
    </w:rPr>
  </w:style>
  <w:style w:type="paragraph" w:styleId="TOC4">
    <w:name w:val="toc 4"/>
    <w:basedOn w:val="Normal"/>
    <w:next w:val="Normal"/>
    <w:autoRedefine/>
    <w:rsid w:val="00805BC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2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1" Type="http://schemas.openxmlformats.org/officeDocument/2006/relationships/image" Target="media/image5.png" /><Relationship Id="rId12" Type="http://schemas.openxmlformats.org/officeDocument/2006/relationships/image" Target="media/image6.emf" /><Relationship Id="rId13" Type="http://schemas.openxmlformats.org/officeDocument/2006/relationships/image" Target="media/image7.png" /><Relationship Id="rId14" Type="http://schemas.openxmlformats.org/officeDocument/2006/relationships/image" Target="media/image8.png" /><Relationship Id="rId15" Type="http://schemas.openxmlformats.org/officeDocument/2006/relationships/image" Target="media/image9.png" /><Relationship Id="rId16" Type="http://schemas.openxmlformats.org/officeDocument/2006/relationships/image" Target="media/image10.png" /><Relationship Id="rId17" Type="http://schemas.openxmlformats.org/officeDocument/2006/relationships/image" Target="media/image11.png" /><Relationship Id="rId18" Type="http://schemas.openxmlformats.org/officeDocument/2006/relationships/image" Target="media/image12.png" /><Relationship Id="rId19" Type="http://schemas.openxmlformats.org/officeDocument/2006/relationships/image" Target="media/image13.png" /><Relationship Id="rId2" Type="http://schemas.openxmlformats.org/officeDocument/2006/relationships/webSettings" Target="webSettings.xml" /><Relationship Id="rId20" Type="http://schemas.openxmlformats.org/officeDocument/2006/relationships/image" Target="media/image14.png" /><Relationship Id="rId21" Type="http://schemas.openxmlformats.org/officeDocument/2006/relationships/image" Target="media/image15.png" /><Relationship Id="rId22" Type="http://schemas.openxmlformats.org/officeDocument/2006/relationships/image" Target="media/image16.png" /><Relationship Id="rId23" Type="http://schemas.openxmlformats.org/officeDocument/2006/relationships/image" Target="media/image17.png" /><Relationship Id="rId24" Type="http://schemas.openxmlformats.org/officeDocument/2006/relationships/image" Target="media/image18.png" /><Relationship Id="rId25" Type="http://schemas.openxmlformats.org/officeDocument/2006/relationships/image" Target="media/image19.png" /><Relationship Id="rId26" Type="http://schemas.openxmlformats.org/officeDocument/2006/relationships/image" Target="media/image20.png" /><Relationship Id="rId27" Type="http://schemas.openxmlformats.org/officeDocument/2006/relationships/image" Target="media/image21.png" /><Relationship Id="rId28" Type="http://schemas.openxmlformats.org/officeDocument/2006/relationships/image" Target="media/image22.png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image" Target="media/image1.png" /><Relationship Id="rId8" Type="http://schemas.openxmlformats.org/officeDocument/2006/relationships/image" Target="media/image2.png" /><Relationship Id="rId9" Type="http://schemas.openxmlformats.org/officeDocument/2006/relationships/image" Target="media/image3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9EFD2-4B14-49F4-A27B-B3F3661A7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ModelerTemplate.dot</Template>
  <TotalTime>0</TotalTime>
  <Pages>33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2018-07-11T18:32:00Z</dcterms:created>
  <dcterms:modified xsi:type="dcterms:W3CDTF">2018-07-11T18:33:00Z</dcterms:modified>
</cp:coreProperties>
</file>