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Redesenhos dos fluxos de tratamento e distribuição da bolsas de hemocomponentes (ciclo do sangue) 2.0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Redesenhos dos fluxos de tratamento e distribuição da bolsas de hemocomponentes (ciclo do sangue) 2.0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Verificação de Reação Transfusional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VERIFICAÇÃO DE REAÇÃO TRANSFUSIONAL - AS IS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4641092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Receber relatório pós transfusional do receptor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1434585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Receber amostra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9226499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Assinar protocolo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2268737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Enviar relatório e amostra para o L.I.E.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1168972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Dar aceite no sistema de recebimento do relatório e amostra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5613523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Realizar exames de investigação de reação transfusional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8416346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 Registrar resultado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6664180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8. Enviar laudo de investigação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1.2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Hospital/Clínica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1.2.1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1.2.1.1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0048116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Realizar relatório pós transfusional do receptor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25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4"/>
          <w:headerReference w:type="default" r:id="rId15"/>
          <w:footerReference w:type="default" r:id="rId16"/>
          <w:headerReference w:type="first" r:id="rId17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87a151fd61684277a83c26e676375444"/>
      <w:bookmarkStart w:id="3" w:name="_Toc256000002"/>
      <w:r>
        <w:t>TO BE - Verificação de Reação Transfusional</w:t>
      </w:r>
      <w:bookmarkEnd w:id="3"/>
    </w:p>
    <w:p>
      <w:pPr>
        <w:jc w:val="center"/>
      </w:pPr>
      <w:bookmarkEnd w:id="2"/>
      <w:r>
        <w:drawing>
          <wp:inline>
            <wp:extent cx="7418096" cy="5845810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344079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418096" cy="584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bookmarkStart w:id="4" w:name="_dx_frag_StartFragment"/>
      <w:bookmarkEnd w:id="4"/>
      <w:r>
        <w:t>Esse processo tem como escopo o redesenho de Verificação de Reação Transfusional, desde o hospital/clínica notificando a reação do receptor através do sistema SIHRO para a Agência Transfusional, até a liberação do laudo de investigação de reação transfusional disponibilizado pelo Laboratório de Imuno-Hematologia Especializada - L.I.E no sistema SIHRO.</w:t>
      </w:r>
      <w:bookmarkStart w:id="5" w:name="_dx_frag_EndFragment"/>
      <w:bookmarkEnd w:id="5"/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afterAutospacing="1"/>
      </w:pPr>
      <w:r>
        <w:t>Delner Freire</w:t>
      </w:r>
      <w:r>
        <w:br/>
      </w:r>
      <w:r>
        <w:t>Superintendente</w:t>
      </w:r>
      <w:r>
        <w:br/>
      </w:r>
      <w:r>
        <w:br/>
      </w:r>
      <w:r>
        <w:t>Abdenildo Sobreira</w:t>
      </w:r>
      <w:r>
        <w:br/>
      </w:r>
      <w:r>
        <w:t>Diretor Técnico</w:t>
      </w:r>
      <w:r>
        <w:br/>
      </w:r>
      <w:r>
        <w:br/>
      </w:r>
      <w:r>
        <w:t>Henrique Douglas Freire</w:t>
      </w:r>
      <w:r>
        <w:br/>
      </w:r>
      <w:r>
        <w:t>Coordenador de Gestão Estratégica</w:t>
      </w:r>
      <w:r>
        <w:t xml:space="preserve"> </w:t>
      </w:r>
    </w:p>
    <w:p>
      <w:pPr>
        <w:pStyle w:val="BoldModelerNormal"/>
      </w:pPr>
      <w:r>
        <w:t>ELABORAÇÃO</w:t>
      </w:r>
    </w:p>
    <w:p>
      <w:pPr>
        <w:pStyle w:val="ModelerNormal"/>
        <w:spacing w:afterAutospacing="1"/>
      </w:pPr>
      <w:r>
        <w:t>Thaís Roca - Analista de Processos</w:t>
      </w:r>
      <w:r>
        <w:br/>
      </w:r>
      <w:r>
        <w:t>Crislâny Andrade - Analista de Processos</w:t>
      </w:r>
      <w:r>
        <w:t> </w:t>
      </w:r>
    </w:p>
    <w:p>
      <w:pPr>
        <w:pStyle w:val="BoldModelerNormal"/>
      </w:pPr>
      <w:r>
        <w:t>COLABORAÇÃO</w:t>
      </w:r>
    </w:p>
    <w:p>
      <w:pPr>
        <w:pStyle w:val="ModelerNormal"/>
        <w:spacing w:afterAutospacing="1"/>
      </w:pPr>
      <w:r>
        <w:t>Ana Carolina</w:t>
      </w:r>
      <w:r>
        <w:t xml:space="preserve"> - </w:t>
      </w:r>
      <w:r>
        <w:t>Médica Hematologista da FHEMERON</w:t>
      </w:r>
      <w:r>
        <w:br/>
      </w:r>
      <w:r>
        <w:t>Walquiria Lima de Almeida - Responsável pela Gerência de Laboratórios no  setor da Agência Transfusional da FHEMERON</w:t>
      </w:r>
      <w:r>
        <w:t> </w:t>
      </w:r>
    </w:p>
    <w:p>
      <w:pPr>
        <w:pStyle w:val="BoldModelerNormal"/>
      </w:pPr>
      <w:r>
        <w:t>REVISORES</w:t>
      </w:r>
    </w:p>
    <w:p>
      <w:pPr>
        <w:pStyle w:val="ModelerNormal"/>
        <w:spacing w:afterAutospacing="1"/>
      </w:pPr>
      <w:r>
        <w:t>Luma Damon</w:t>
      </w:r>
      <w:r>
        <w:t xml:space="preserve"> </w:t>
      </w:r>
      <w:r>
        <w:t>- Gerente de Processos</w:t>
      </w:r>
      <w:r>
        <w:t xml:space="preserve"> </w:t>
      </w:r>
      <w:r>
        <w:br/>
      </w:r>
      <w:r>
        <w:t>Walquiria Lima - Dono do Processo</w:t>
      </w:r>
      <w:r>
        <w:br/>
      </w:r>
      <w:r>
        <w:t>Geciele Gonçalves - Dona do Produto</w:t>
      </w:r>
    </w:p>
    <w:p>
      <w:pPr>
        <w:pStyle w:val="BoldModelerNormal"/>
      </w:pPr>
      <w:r>
        <w:t>VERSIONAMENTO</w:t>
      </w:r>
    </w:p>
    <w:tbl>
      <w:tblPr>
        <w:tblW w:w="5000" w:type="pct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746"/>
        <w:gridCol w:w="1225"/>
        <w:gridCol w:w="3003"/>
        <w:gridCol w:w="3817"/>
      </w:tblGrid>
      <w:tr>
        <w:tblPrEx>
          <w:tblW w:w="5000" w:type="pct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Versão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Data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Responsável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Ação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10/11/2022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</w:t>
            </w:r>
            <w:r>
              <w:br/>
            </w:r>
            <w:r>
              <w:t>Crislâny Andrade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Modelagem do Processo de Negócio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22/05/2023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Atualização de padrão textual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982481db6931431189fc25a9e69724f5"/>
      <w:bookmarkStart w:id="7" w:name="_Toc256000003"/>
      <w:r>
        <w:t>VERIFICAÇÃO DE REAÇÃO TRANSFUSIONAL - AS IS</w:t>
      </w:r>
      <w:bookmarkEnd w:id="7"/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155828221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008687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Receber relatório pós transfusional do receptor</w:t>
      </w:r>
      <w:bookmarkEnd w:id="9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Sistema SIHRO</w:t>
      </w:r>
      <w:r>
        <w:br/>
      </w:r>
      <w:r>
        <w:br/>
      </w:r>
      <w:r>
        <w:t>O que:</w:t>
      </w:r>
      <w:r>
        <w:t xml:space="preserve"> Receber relatório pós transfusional do receptor</w:t>
      </w:r>
      <w:r>
        <w:br/>
      </w:r>
      <w:r>
        <w:br/>
      </w:r>
      <w:r>
        <w:t>Quando:</w:t>
      </w:r>
      <w:r>
        <w:br/>
      </w:r>
      <w:r>
        <w:br/>
      </w:r>
      <w:r>
        <w:t>Como</w:t>
      </w:r>
      <w:r>
        <w:br/>
      </w:r>
      <w:r>
        <w:t>Tarefa 1:</w:t>
      </w:r>
      <w:r>
        <w:t xml:space="preserve"> Abrir o sistema SIHRO com login e senha;</w:t>
      </w:r>
      <w:r>
        <w:br/>
      </w:r>
      <w:r>
        <w:t>Tarefa 2:</w:t>
      </w:r>
      <w:r>
        <w:t xml:space="preserve"> Verificar as notificações;</w:t>
      </w:r>
    </w:p>
    <w:p>
      <w:pPr>
        <w:pStyle w:val="ModelerNormal"/>
        <w:spacing w:afterAutospacing="1"/>
      </w:pPr>
      <w:r>
        <w:t>Observações: </w:t>
      </w:r>
      <w:r>
        <w:br/>
      </w:r>
      <w:r>
        <w:t>1-</w:t>
      </w:r>
      <w:r>
        <w:t xml:space="preserve"> Ao Verificar a notificação, poderá ser visualizado a finalidade do que houve com a bolsa, se ela foi ou não utilizada para transfusão;</w:t>
      </w:r>
      <w:r>
        <w:br/>
      </w:r>
      <w:r>
        <w:t xml:space="preserve">2- </w:t>
      </w:r>
      <w:r>
        <w:t>Caso a bolsa não seja transfundida, ela poderá ser devolvida a Agência Transfusional, desde que atenda aos critérios de devolução;</w:t>
      </w:r>
      <w:r>
        <w:br/>
      </w:r>
      <w:r>
        <w:t xml:space="preserve">3- </w:t>
      </w:r>
      <w:r>
        <w:t>Caso ela tenha sido transfundida será observado se receptor apresentou reação sim ou não;</w:t>
      </w:r>
      <w:r>
        <w:br/>
      </w:r>
      <w:r>
        <w:t xml:space="preserve">4- </w:t>
      </w:r>
      <w:r>
        <w:t>Se o receptor não apresentar reação transfusional, será informado na ficha do receptor que foi realizado transfusão e não apresentou reação, mantendo um histórico e finalizando aquele processo;</w:t>
      </w:r>
      <w:r>
        <w:br/>
      </w:r>
      <w:r>
        <w:t xml:space="preserve">5 -  </w:t>
      </w:r>
      <w:r>
        <w:t>Em caso de reação transfusional, o médico e/ou enfermeiro responsável pelo paciente deverá enviar à Agência Transfusional o Relatório de Reação do Receptor, a amostra pós-transfusional e a bolsa de hemocomponente quando for possível, para investigação;</w:t>
      </w:r>
      <w:r>
        <w:br/>
      </w:r>
      <w:r>
        <w:t xml:space="preserve">6 - </w:t>
      </w:r>
      <w:r>
        <w:t>O relatório deverá está devidamente preenchido com as seguintes informações (imagem abaixo):</w:t>
      </w:r>
    </w:p>
    <w:p>
      <w:pPr>
        <w:pStyle w:val="ModelerNormal"/>
        <w:spacing w:afterAutospacing="1"/>
      </w:pPr>
      <w:r>
        <w:drawing>
          <wp:inline>
            <wp:extent cx="4210050" cy="2428875"/>
            <wp:docPr id="10001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342908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br/>
      </w:r>
      <w:r>
        <w:t>Tarefa 3: </w:t>
      </w:r>
      <w:r>
        <w:t>Identificar no Relatório o Grau de reação;</w:t>
      </w:r>
      <w:r>
        <w:br/>
      </w:r>
      <w:r>
        <w:t>Observações:</w:t>
      </w:r>
      <w:r>
        <w:br/>
      </w:r>
      <w:r>
        <w:t>1-  </w:t>
      </w:r>
      <w:r>
        <w:t>O responsável pelo paciente deverá identificar no relatório qual a gravidade/evolução da reação, os sintomas apresentados e descrever detalhadamente os eventos adversos;</w:t>
      </w:r>
      <w:r>
        <w:br/>
      </w:r>
      <w:r>
        <w:t xml:space="preserve">2- </w:t>
      </w:r>
      <w:r>
        <w:t>A amostra só é obrigatória nos casos das reações de: febre, calafrios, cianose de extremidade, cianose labial, dispnéia, dor abdominal, dor lombar, dor torácica, hipertensão arterial, náuseas, vômitos, ansiedade, taquicardia, taquipnéia, tremores, hemoglobinúria ou outros que não apareçam no classificados (imagem abaixo);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drawing>
          <wp:inline>
            <wp:extent cx="5991225" cy="2381250"/>
            <wp:docPr id="10001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43336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9122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Tarefa 4: </w:t>
      </w:r>
      <w:r>
        <w:t>O relatório deverá vir devidamente assinado pelo médico/enfermeiro;</w:t>
      </w:r>
      <w:r>
        <w:br/>
      </w:r>
      <w:r>
        <w:t>Tarefa 5:</w:t>
      </w:r>
      <w:r>
        <w:t xml:space="preserve"> Dar aceite no sistema, informando que recebeu as informações referentes a transfusão;</w:t>
      </w:r>
      <w:r>
        <w:br/>
      </w:r>
      <w:r>
        <w:t>Observações:</w:t>
      </w:r>
      <w:r>
        <w:br/>
      </w:r>
      <w:r>
        <w:t xml:space="preserve">1- </w:t>
      </w:r>
      <w:r>
        <w:t xml:space="preserve">Ao dar aceite de recebimento, será gerado de forma automática número de protocolo; </w:t>
      </w:r>
      <w:r>
        <w:br/>
      </w:r>
      <w:r>
        <w:t xml:space="preserve">2- </w:t>
      </w:r>
      <w:r>
        <w:t xml:space="preserve">O número de protocolo será o mesmo para o formulário e amostra da bolsa, já sendo inserido na ficha e histórico do receptor. 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receber do hospital/clínica o relatório de reação transfusional para que a Agência Transfusional tenha conhecimento das reações do receptor e tome as devidas providências.</w:t>
      </w:r>
    </w:p>
    <w:p>
      <w:pPr>
        <w:pStyle w:val="ModelerNormal"/>
        <w:spacing w:afterAutospacing="1"/>
      </w:pPr>
      <w:r>
        <w:t>Imagem 01 - Modelo do Relatório de reação transfusional completo:</w:t>
      </w:r>
    </w:p>
    <w:p>
      <w:pPr>
        <w:pStyle w:val="ModelerNormal"/>
        <w:spacing w:afterAutospacing="1"/>
      </w:pPr>
      <w:r>
        <w:drawing>
          <wp:inline>
            <wp:extent cx="4495800" cy="6410325"/>
            <wp:docPr id="10001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77892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641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PORTARIA Nº 158, DE 04 DE FEVEREIRO DE 2016</w:t>
      </w:r>
    </w:p>
    <w:p>
      <w:pPr>
        <w:pStyle w:val="ModelerNormal"/>
        <w:spacing w:afterAutospacing="1"/>
      </w:pPr>
      <w:r>
        <w:t>DOU de 05/02/2016 (nº 25, Seção 1, pág. 37)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Seção XIII</w:t>
      </w:r>
    </w:p>
    <w:p>
      <w:pPr>
        <w:pStyle w:val="ModelerNormal"/>
        <w:spacing w:afterAutospacing="1"/>
      </w:pPr>
      <w:r>
        <w:t>Das Reações Transfusionais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Art. 206.</w:t>
      </w:r>
      <w:r>
        <w:t> A instituição de assistência à saúde que realiza transfusões terá um sistema para detecção, notificação e avaliação das reações transfusionais.</w:t>
      </w:r>
    </w:p>
    <w:p>
      <w:pPr>
        <w:pStyle w:val="ModelerNormal"/>
        <w:spacing w:afterAutospacing="1"/>
      </w:pPr>
      <w:r>
        <w:t>§ 1º Na suspeita de reação transfusional o paciente receberá atendimento imediato e tanto o médico assistente quanto o serviço de hemoterapia que preparou a transfusão deverão ser comunicados.</w:t>
      </w:r>
    </w:p>
    <w:p>
      <w:pPr>
        <w:pStyle w:val="ModelerNormal"/>
        <w:spacing w:afterAutospacing="1"/>
      </w:pPr>
      <w:r>
        <w:t>§ 2º A instituição de assistência à saúde manterá os registros no prontuário do paciente referentes à investigação e à conduta adotadas nas reações transfusionais.</w:t>
      </w:r>
    </w:p>
    <w:p>
      <w:pPr>
        <w:pStyle w:val="ModelerNormal"/>
        <w:spacing w:afterAutospacing="1"/>
      </w:pPr>
      <w:r>
        <w:t>§ 3º O comitê transfusional do serviço de hemoterapia ou da instituição de assistência à saúde será informado e monitorará as reações transfusionais ocorridas zelando pelo atendimento e notificação dessas reações.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Art. 207.</w:t>
      </w:r>
      <w:r>
        <w:t> As reações transfusionais imediatas serão avaliadas e acompanhadas pelo serviço que realizou a transfusão.</w:t>
      </w:r>
    </w:p>
    <w:p>
      <w:pPr>
        <w:pStyle w:val="ModelerNormal"/>
        <w:spacing w:afterAutospacing="1"/>
      </w:pPr>
      <w:r>
        <w:t>§ 1º Consideram-se reações transfusionais imediatas aquelas que ocorrem até 24 (vinte e quatro) horas depois de iniciada a transfusão.</w:t>
      </w:r>
    </w:p>
    <w:p>
      <w:pPr>
        <w:pStyle w:val="ModelerNormal"/>
        <w:spacing w:afterAutospacing="1"/>
      </w:pPr>
      <w:r>
        <w:t>§ 2º Em caso de reações transfusionais imediatas, serão adotadas, entre outras, as seguintes medidas:</w:t>
      </w:r>
    </w:p>
    <w:p>
      <w:pPr>
        <w:pStyle w:val="ModelerNormal"/>
        <w:spacing w:afterAutospacing="1"/>
      </w:pPr>
      <w:r>
        <w:t>I - interromper a transfusão, exceto em caso de reações alérgicas leves (urticária) nas quais a transfusão do componente sanguíneo não precisa ser suspensa;</w:t>
      </w:r>
    </w:p>
    <w:p>
      <w:pPr>
        <w:pStyle w:val="ModelerNormal"/>
        <w:spacing w:afterAutospacing="1"/>
      </w:pPr>
      <w:r>
        <w:t>II - manter acesso venoso;</w:t>
      </w:r>
    </w:p>
    <w:p>
      <w:pPr>
        <w:pStyle w:val="ModelerNormal"/>
        <w:spacing w:afterAutospacing="1"/>
      </w:pPr>
      <w:r>
        <w:t>III - examinar rótulos das bolsas e de todos os registros relacionados à transfusão para verificar se houve erro na identificação do paciente ou das bolsas transfundidas;</w:t>
      </w:r>
    </w:p>
    <w:p>
      <w:pPr>
        <w:pStyle w:val="ModelerNormal"/>
        <w:spacing w:afterAutospacing="1"/>
      </w:pPr>
      <w:r>
        <w:t>IV - não desprezar as bolsas de componentes sanguíneos transfundidas e encaminhá-las ao serviço de hemoterapia, quando pertinente;</w:t>
      </w:r>
    </w:p>
    <w:p>
      <w:pPr>
        <w:pStyle w:val="ModelerNormal"/>
        <w:spacing w:afterAutospacing="1"/>
      </w:pPr>
      <w:r>
        <w:t>V - comunicar ao médico assistente e/ou médico do serviço de hemoterapia;</w:t>
      </w:r>
    </w:p>
    <w:p>
      <w:pPr>
        <w:pStyle w:val="ModelerNormal"/>
        <w:spacing w:afterAutospacing="1"/>
      </w:pPr>
      <w:r>
        <w:t>VI - informar ao comitê transfusional; e VII - notificar a ocorrência à autoridade sanitária competente.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Art. 208.</w:t>
      </w:r>
      <w:r>
        <w:t> No caso de suspeita de reação hemolítica serão coletadas novas amostras de sangue do receptor.</w:t>
      </w:r>
    </w:p>
    <w:p>
      <w:pPr>
        <w:pStyle w:val="ModelerNormal"/>
        <w:spacing w:afterAutospacing="1"/>
      </w:pPr>
      <w:r>
        <w:t>§ 1º As amostras de que trata o “caput” serão rotuladas apropriadamente e, juntamente com a bolsa do componente sanguíneo em questão, mesmo vazia, serão imediatamente remetidas ao serviço de hemoterapia.</w:t>
      </w:r>
    </w:p>
    <w:p>
      <w:pPr>
        <w:pStyle w:val="ModelerNormal"/>
        <w:spacing w:afterAutospacing="1"/>
      </w:pPr>
      <w:r>
        <w:t>§ 2º Os testes pré-transfusionais serão repetidos com as amostras pré e pós-reação transfusional.</w:t>
      </w:r>
    </w:p>
    <w:p>
      <w:pPr>
        <w:pStyle w:val="ModelerNormal"/>
        <w:spacing w:afterAutospacing="1"/>
      </w:pPr>
      <w:r>
        <w:t>§ 3º Na amostra pós-reação transfusional serão realizados, no mínimo, os seguintes testes:</w:t>
      </w:r>
    </w:p>
    <w:p>
      <w:pPr>
        <w:pStyle w:val="ModelerNormal"/>
        <w:spacing w:afterAutospacing="1"/>
      </w:pPr>
      <w:r>
        <w:t>I - inspeção visual do soro ou plasma para detecção de hemólise;</w:t>
      </w:r>
    </w:p>
    <w:p>
      <w:pPr>
        <w:pStyle w:val="ModelerNormal"/>
        <w:spacing w:afterAutospacing="1"/>
      </w:pPr>
      <w:r>
        <w:t>II - tipagem ABO e RhD; III - Teste Direto da Antiglobulina (TDA);</w:t>
      </w:r>
    </w:p>
    <w:p>
      <w:pPr>
        <w:pStyle w:val="ModelerNormal"/>
        <w:spacing w:afterAutospacing="1"/>
      </w:pPr>
      <w:r>
        <w:t>IV - prova de compatibilidade maior com o resíduo de hemácias da bolsa; e</w:t>
      </w:r>
    </w:p>
    <w:p>
      <w:pPr>
        <w:pStyle w:val="ModelerNormal"/>
        <w:spacing w:afterAutospacing="1"/>
      </w:pPr>
      <w:r>
        <w:t>V - pesquisa de anticorpos antieritrocitários irregulares, utilizando técnicas que aumentem a sensibilidade do método.</w:t>
      </w:r>
    </w:p>
    <w:p>
      <w:pPr>
        <w:pStyle w:val="ModelerNormal"/>
        <w:spacing w:afterAutospacing="1"/>
      </w:pPr>
      <w:r>
        <w:t>§ 4º Os resultados dos testes realizados com amostra pós-reação transfusional serão confrontados com os obtidos com a amostra pré-transfusão.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Art. 209</w:t>
      </w:r>
      <w:r>
        <w:t>. Os casos de suspeita de reação por contaminação microbiana ou lesão pulmonar aguda relacionada à transfusão (TRALI) serão comunicados ao serviço de hemoterapia produtor do componente sanguíneo para rastreamento do(s) provável(veis) doador(es) envolvido(s) e dos demais componentes sanguíneos dele(s) porventura coletado(s), de acordo com o procedimento operacional do serviço.</w:t>
      </w:r>
    </w:p>
    <w:p>
      <w:pPr>
        <w:pStyle w:val="ModelerNormal"/>
        <w:spacing w:afterAutospacing="1"/>
      </w:pPr>
      <w:r>
        <w:t>§ 1º Nos casos de suspeita de contaminação microbiana é necessária cultura microbiológica da bolsa e do paciente.</w:t>
      </w:r>
    </w:p>
    <w:p>
      <w:pPr>
        <w:pStyle w:val="ModelerNormal"/>
        <w:spacing w:afterAutospacing="1"/>
      </w:pPr>
      <w:r>
        <w:t>§ 2º Os doadores associados ou implicados com caso de TRALI serão liberados para doação de sangue total, mas não para doação de plaquetas por aférese.</w:t>
      </w:r>
    </w:p>
    <w:p>
      <w:pPr>
        <w:pStyle w:val="ModelerNormal"/>
        <w:spacing w:afterAutospacing="1"/>
      </w:pPr>
      <w:r>
        <w:t>§ 3º O concentrado de hemácias obtido da doação de que trata o § 2º será liberado para transfusão após o procedimento de lavagem e o plasma será utilizado apenas para fracionamento industrial.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Art. 210</w:t>
      </w:r>
      <w:r>
        <w:t>. Em caso de febre relacionada à transfusão com elevação da temperatura corporal acima de 1oC (grau Celsius) após o início da transfusão e atingindo temperatura superior 38oC (graus Celsius), a transfusão será interrompida imediatamente e o componente sanguíneo não será mais infundido no paciente.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Art. 211.</w:t>
      </w:r>
      <w:r>
        <w:t> As complicações ou reações transfusionais tardias serão avaliadas e acompanhadas.</w:t>
      </w:r>
    </w:p>
    <w:p>
      <w:pPr>
        <w:pStyle w:val="ModelerNormal"/>
        <w:spacing w:afterAutospacing="1"/>
      </w:pPr>
      <w:r>
        <w:t>§ 1º Todos os casos em que haja suspeita de transmissão de infecção por transfusão serão avaliados.</w:t>
      </w:r>
    </w:p>
    <w:p>
      <w:pPr>
        <w:pStyle w:val="ModelerNormal"/>
        <w:spacing w:afterAutospacing="1"/>
      </w:pPr>
      <w:r>
        <w:t>§ 2º Novo estudo dos doadores dos componentes sanguíneos suspeitos será realizado, incluindo a convocação e a repetição dos testes para infecções transmissíveis de todos os doadores envolvidos.</w:t>
      </w:r>
    </w:p>
    <w:p>
      <w:pPr>
        <w:pStyle w:val="ModelerNormal"/>
        <w:spacing w:afterAutospacing="1"/>
      </w:pPr>
      <w:r>
        <w:t>§ 3º Depois da investigação do caso, os seguintes procedimentos devem ser realizados:</w:t>
      </w:r>
    </w:p>
    <w:p>
      <w:pPr>
        <w:pStyle w:val="ModelerNormal"/>
        <w:spacing w:afterAutospacing="1"/>
      </w:pPr>
      <w:r>
        <w:t>I - comunicar ao médico do paciente a eventual soroconversão de um ou mais doadores envolvidos no caso;</w:t>
      </w:r>
    </w:p>
    <w:p>
      <w:pPr>
        <w:pStyle w:val="ModelerNormal"/>
        <w:spacing w:afterAutospacing="1"/>
      </w:pPr>
      <w:r>
        <w:t>II - após identificar o doador, encaminhá-lo para tratamento especializado e excluí-lo do arquivo de doadores do serviço de hemoterapia;</w:t>
      </w:r>
    </w:p>
    <w:p>
      <w:pPr>
        <w:pStyle w:val="ModelerNormal"/>
        <w:spacing w:afterAutospacing="1"/>
      </w:pPr>
      <w:r>
        <w:t>III - registrar as medidas efetuadas para o diagnóstico, notificação e encaminhamento; e</w:t>
      </w:r>
    </w:p>
    <w:p>
      <w:pPr>
        <w:pStyle w:val="ModelerNormal"/>
        <w:spacing w:afterAutospacing="1"/>
      </w:pPr>
      <w:r>
        <w:t>IV - notificar a ocorrência à autoridade sanitária competente.</w:t>
      </w:r>
    </w:p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0" w:name="_Toc256000006"/>
      <w:r>
        <w:drawing>
          <wp:inline>
            <wp:extent cx="152421" cy="152421"/>
            <wp:docPr id="165765653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250256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Receber amostra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> Sistema SIHRO</w:t>
      </w:r>
      <w:r>
        <w:br/>
      </w:r>
      <w:r>
        <w:br/>
      </w:r>
      <w:r>
        <w:t>O que:</w:t>
      </w:r>
      <w:r>
        <w:t> </w:t>
      </w:r>
      <w:r>
        <w:t>Receber a amostra</w:t>
      </w:r>
      <w:r>
        <w:br/>
      </w:r>
      <w:r>
        <w:br/>
      </w:r>
      <w:r>
        <w:t>Quando:</w:t>
      </w:r>
      <w:r>
        <w:br/>
      </w:r>
      <w:r>
        <w:br/>
      </w:r>
      <w:r>
        <w:t>Como</w:t>
      </w:r>
      <w:r>
        <w:br/>
      </w:r>
      <w:r>
        <w:t>Tarefa 1:</w:t>
      </w:r>
      <w:r>
        <w:t xml:space="preserve"> Abrir o sistema SIHRO com login e senha;</w:t>
      </w:r>
      <w:r>
        <w:br/>
      </w:r>
      <w:r>
        <w:t>Tarefa 2</w:t>
      </w:r>
      <w:r>
        <w:t>: Registrar o recebimento da amostra no sistema SIHRO;</w:t>
      </w:r>
    </w:p>
    <w:p>
      <w:pPr>
        <w:pStyle w:val="ModelerNormal"/>
        <w:spacing w:afterAutospacing="1"/>
      </w:pPr>
      <w:r>
        <w:t>Obsevações:</w:t>
      </w:r>
      <w:r>
        <w:br/>
      </w:r>
      <w:r>
        <w:t xml:space="preserve">1- </w:t>
      </w:r>
      <w:r>
        <w:t>O sistema SIHRO possuirá uma campo para informar ao Hospital/Clínica que recebeu a amostra;</w:t>
      </w:r>
      <w:r>
        <w:br/>
      </w:r>
      <w:r>
        <w:t xml:space="preserve">2- </w:t>
      </w:r>
      <w:r>
        <w:t>Nele deverá constar o nome do Hospital/Clínica, nome do paciente e exames solicitados;</w:t>
      </w:r>
      <w:r>
        <w:br/>
      </w:r>
      <w:r>
        <w:t xml:space="preserve">3- </w:t>
      </w:r>
      <w:r>
        <w:t>Registrar automaticamente data e hora do recebimento ao finalizar o registro;</w:t>
      </w:r>
      <w:r>
        <w:br/>
      </w:r>
      <w:r>
        <w:t xml:space="preserve">4- </w:t>
      </w:r>
      <w:r>
        <w:t>Deverá conter campo para assinatura do técnico que está realizando o recebimento da amostra e para quem está entregando.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tenha um registro de entrega desse relatório de reação transfusional e da amostra pós-transfusional para encaminhar posteriormente ao L.I.E.</w:t>
      </w:r>
      <w:r>
        <w:br/>
      </w:r>
      <w:r>
        <w:br/>
      </w:r>
      <w:r>
        <w:t>Imagem: Protocolo de recebimento de requisições  - Laboratório de Imunologia Especializada (LIE)</w:t>
      </w:r>
      <w:r>
        <w:br/>
      </w:r>
      <w:r>
        <w:drawing>
          <wp:inline>
            <wp:extent cx="8867775" cy="6038850"/>
            <wp:docPr id="10001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986384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8867775" cy="603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 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11" w:name="_Toc256000007"/>
      <w:r>
        <w:drawing>
          <wp:inline>
            <wp:extent cx="152421" cy="152421"/>
            <wp:docPr id="126521345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591551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Assinar protocolo</w:t>
      </w:r>
      <w:bookmarkEnd w:id="11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 </w:t>
      </w:r>
      <w:r>
        <w:t>Sistema SIHRO</w:t>
      </w:r>
      <w:r>
        <w:br/>
      </w:r>
      <w:r>
        <w:br/>
      </w:r>
      <w:r>
        <w:t>O que: </w:t>
      </w:r>
      <w:r>
        <w:t>Assinar o protocolo</w:t>
      </w:r>
      <w:r>
        <w:br/>
      </w:r>
      <w:r>
        <w:br/>
      </w:r>
      <w:r>
        <w:t>Quando:</w:t>
      </w:r>
      <w:r>
        <w:br/>
      </w:r>
      <w:r>
        <w:br/>
      </w:r>
      <w:r>
        <w:t>Como</w:t>
      </w:r>
    </w:p>
    <w:p>
      <w:pPr>
        <w:pStyle w:val="ModelerNormal"/>
        <w:spacing w:afterAutospacing="1"/>
      </w:pPr>
      <w:r>
        <w:t>Tarefa 1: </w:t>
      </w:r>
      <w:r>
        <w:t>Assinar o protocolo de entrega da amostra pós-transfusional.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1 - </w:t>
      </w:r>
      <w:r>
        <w:t>O responsável pela entrega da amostra deverá assinar o protocolo de recebimento da Agência Transfusional com seu nome, data e hora da entrega;</w:t>
      </w:r>
      <w:r>
        <w:br/>
      </w:r>
      <w:r>
        <w:t>2-</w:t>
      </w:r>
      <w:r>
        <w:t xml:space="preserve"> </w:t>
      </w:r>
      <w:r>
        <w:t>O responsável pela entrega da amostra do receptor poderá está realizando a assinatura através do portal do servidor ou assine aqui.</w:t>
      </w:r>
      <w:r>
        <w:br/>
      </w:r>
      <w:r>
        <w:t xml:space="preserve">3 - </w:t>
      </w:r>
      <w:r>
        <w:t>Após assinatura, o responsável pela entrega é liberado;</w:t>
      </w:r>
      <w:r>
        <w:br/>
      </w:r>
      <w:r>
        <w:t xml:space="preserve">4 - </w:t>
      </w:r>
      <w:r>
        <w:t>O técnico da Agência Transfusional irá dar continuidade nos trabalhos</w:t>
      </w:r>
      <w:r>
        <w:t>.</w:t>
      </w:r>
      <w:r>
        <w:br/>
      </w:r>
      <w:r>
        <w:t xml:space="preserve">Ponto de atenção: Em anexo segue imagem dos campos de protocolo utilizado pela FHEMERON. 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o responsável pelo transporte assine o recebimento do hemocomponente para ter um registro de entrega do Relatório de reações transfusionais e da amostra pós-transfusão.</w:t>
      </w:r>
    </w:p>
    <w:p>
      <w:pPr>
        <w:pStyle w:val="ModelerNormal"/>
        <w:spacing w:afterAutospacing="1"/>
      </w:pPr>
      <w:r>
        <w:br/>
      </w:r>
      <w:r>
        <w:t>Imagem: Protocolo de recebimento de requisições  - Laboratório de Imunologia Especializada (LIE)</w:t>
      </w:r>
      <w:r>
        <w:br/>
      </w:r>
      <w:r>
        <w:drawing>
          <wp:inline>
            <wp:extent cx="8867775" cy="6038850"/>
            <wp:docPr id="10001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20858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8867775" cy="603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 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12" w:name="_Toc256000008"/>
      <w:r>
        <w:drawing>
          <wp:inline>
            <wp:extent cx="152421" cy="152421"/>
            <wp:docPr id="31800143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337047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Enviar relatório e amostra para o L.I.E.</w:t>
      </w:r>
      <w:bookmarkEnd w:id="12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> Sistema SIHRO</w:t>
      </w:r>
      <w:r>
        <w:br/>
      </w:r>
      <w:r>
        <w:br/>
      </w:r>
      <w:r>
        <w:t>O que:</w:t>
      </w:r>
      <w:r>
        <w:t> </w:t>
      </w:r>
      <w:r>
        <w:t>Enviar relatório e amostra para o L.I.E</w:t>
      </w:r>
      <w:r>
        <w:br/>
      </w:r>
      <w:r>
        <w:br/>
      </w:r>
      <w:r>
        <w:t>Quando:</w:t>
      </w:r>
      <w:r>
        <w:br/>
      </w:r>
      <w:r>
        <w:br/>
      </w:r>
      <w:r>
        <w:t>Como</w:t>
      </w:r>
      <w:r>
        <w:br/>
      </w:r>
      <w:r>
        <w:t>Tarefa 1</w:t>
      </w:r>
      <w:r>
        <w:t>: Abrir a aba de distribuição no sistema SIHRO;</w:t>
      </w:r>
      <w:r>
        <w:br/>
      </w:r>
      <w:r>
        <w:t>Tarefa 2:</w:t>
      </w:r>
      <w:r>
        <w:t xml:space="preserve"> Distribuir no sistema o Relatório de Reação Transfusional para o setor de Laboratório de imunologia especializada (LIE) ;</w:t>
      </w:r>
      <w:r>
        <w:br/>
      </w:r>
      <w:r>
        <w:t>Observações:</w:t>
      </w:r>
      <w:r>
        <w:br/>
      </w:r>
      <w:r>
        <w:t>1 -  </w:t>
      </w:r>
      <w:r>
        <w:t>O técnico da Agência irá levar até o setor do LIE a amostra pós-transfusional;</w:t>
      </w:r>
      <w:r>
        <w:br/>
      </w:r>
      <w:r>
        <w:t xml:space="preserve">2 - </w:t>
      </w:r>
      <w:r>
        <w:t>Tudo é encaminhado ao LIE, pois é ele quem realiza todos os teste de investigação de reações transfusionais.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a Agência realize a distribuição ao LIE do Relatório de Reação Transfusional e a amostra pós-transfusional para que seja realizada a investigação das causas de reações transfusionais.</w:t>
      </w:r>
    </w:p>
    <w:p>
      <w:pPr>
        <w:pStyle w:val="bizHeading4"/>
      </w:pPr>
      <w:bookmarkStart w:id="13" w:name="_Toc256000009"/>
      <w:r>
        <w:drawing>
          <wp:inline>
            <wp:extent cx="152421" cy="152421"/>
            <wp:docPr id="43508124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776614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Dar aceite no sistema de recebimento do relatório e amostra</w:t>
      </w:r>
      <w:bookmarkEnd w:id="13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Sistema SIHRO</w:t>
      </w:r>
      <w:r>
        <w:br/>
      </w:r>
      <w:r>
        <w:br/>
      </w:r>
      <w:r>
        <w:t>O que:</w:t>
      </w:r>
      <w:r>
        <w:t xml:space="preserve"> </w:t>
      </w:r>
      <w:r>
        <w:t>Dar aceite no sistema de recebimento do relatório e amostra</w:t>
      </w:r>
      <w:r>
        <w:br/>
      </w:r>
      <w:r>
        <w:br/>
      </w:r>
      <w:r>
        <w:t>Quando:</w:t>
      </w:r>
      <w:r>
        <w:t xml:space="preserve"> Após a Agência Transfusional enviar o relatório e amostra para o L.I.E.</w:t>
      </w:r>
      <w:r>
        <w:br/>
      </w:r>
      <w:r>
        <w:br/>
      </w:r>
      <w:r>
        <w:t>Como</w:t>
      </w:r>
      <w:r>
        <w:br/>
      </w:r>
      <w:r>
        <w:t>Tarefa 1:</w:t>
      </w:r>
      <w:r>
        <w:t xml:space="preserve"> Abrir o sistema SIHRO com login e senha;</w:t>
      </w:r>
      <w:r>
        <w:br/>
      </w:r>
      <w:r>
        <w:t>Tarefa 2:</w:t>
      </w:r>
      <w:r>
        <w:t xml:space="preserve"> Verificar as notificações;</w:t>
      </w:r>
      <w:r>
        <w:br/>
      </w:r>
      <w:r>
        <w:t>Tarefa 3:</w:t>
      </w:r>
      <w:r>
        <w:t xml:space="preserve"> Dar aceite de recebimento do relatório de Reações Transfusionais e amostra do receptor para investigação.</w:t>
      </w:r>
      <w:r>
        <w:br/>
      </w:r>
      <w:r>
        <w:br/>
      </w:r>
      <w:r>
        <w:t>Por que essa atividade acontece?</w:t>
      </w:r>
      <w:r>
        <w:t xml:space="preserve"> </w:t>
      </w:r>
    </w:p>
    <w:p>
      <w:pPr>
        <w:pStyle w:val="ModelerNormal"/>
        <w:spacing w:afterAutospacing="1"/>
      </w:pPr>
      <w:r>
        <w:t>Essa atividade acontece porque é necessário que a Agência encaminhe ao LIE o Relatório de reação transfusional e a amostra pós-transfusional para que seja realizada a investigação das causas de reações transfusionais.</w:t>
      </w:r>
      <w:r>
        <w:t xml:space="preserve"> </w:t>
      </w:r>
    </w:p>
    <w:p>
      <w:pPr>
        <w:pStyle w:val="bizHeading4"/>
      </w:pPr>
      <w:bookmarkStart w:id="14" w:name="_Toc256000010"/>
      <w:r>
        <w:drawing>
          <wp:inline>
            <wp:extent cx="152421" cy="152421"/>
            <wp:docPr id="160394427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471950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Realizar exames de investigação de reação transfusional</w:t>
      </w:r>
      <w:bookmarkEnd w:id="14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> Laboratório Especializado de Imunohematologia Receptor - LIE</w:t>
      </w:r>
      <w:r>
        <w:br/>
      </w:r>
      <w:r>
        <w:br/>
      </w:r>
      <w:r>
        <w:t>O que:</w:t>
      </w:r>
      <w:r>
        <w:t> </w:t>
      </w:r>
      <w:r>
        <w:t>Realizar exames de investigação de reação transfusional</w:t>
      </w:r>
      <w:r>
        <w:br/>
      </w:r>
      <w:r>
        <w:br/>
      </w:r>
      <w:r>
        <w:t>Quando: </w:t>
      </w:r>
      <w:r>
        <w:t>Após receber formulário com as amostras de sangue do receptor pós-transfusional</w:t>
      </w:r>
      <w:r>
        <w:br/>
      </w:r>
      <w:r>
        <w:br/>
      </w:r>
      <w:r>
        <w:t>Como:</w:t>
      </w:r>
      <w:r>
        <w:br/>
      </w:r>
      <w:r>
        <w:t>Tarefa 1: </w:t>
      </w:r>
      <w:r>
        <w:t>Realizar o teste de tipagem sanguínea ABO e Rh no paciente e na bolsa;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1- </w:t>
      </w:r>
      <w:r>
        <w:t>Na bolsa somente quando for possível vir a bolsa;</w:t>
      </w:r>
      <w:r>
        <w:br/>
      </w:r>
      <w:r>
        <w:t>Tarefa 2: </w:t>
      </w:r>
      <w:r>
        <w:t>Realizar Pesquisa de Anticorpos irregulares (P.A.I);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1 - </w:t>
      </w:r>
      <w:r>
        <w:t>P.A.I só é realizado na amostra do paciente;</w:t>
      </w:r>
      <w:r>
        <w:br/>
      </w:r>
      <w:r>
        <w:t>Tarefa 3:</w:t>
      </w:r>
      <w:r>
        <w:t> Realizar teste de prova cruzada;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1 - </w:t>
      </w:r>
      <w:r>
        <w:t>Realizado na amostra pós-transfusional do paciente e na amostra da bolsa;</w:t>
      </w:r>
      <w:r>
        <w:br/>
      </w:r>
      <w:r>
        <w:t xml:space="preserve">2 - </w:t>
      </w:r>
      <w:r>
        <w:t>A Agência Transfusional antes de disponibilizar a bolsa de hemocomponente ela guarda um pedaço de amostra da bolsa para possíveis investigações;</w:t>
      </w:r>
      <w:r>
        <w:br/>
      </w:r>
      <w:r>
        <w:t>Tarefa 4:</w:t>
      </w:r>
      <w:r>
        <w:t> Realizar teste de Coombs direto no paciente;</w:t>
      </w:r>
      <w:r>
        <w:br/>
      </w:r>
      <w:r>
        <w:t>Tarefa 5:</w:t>
      </w:r>
      <w:r>
        <w:t> Realizar teste de microbiologia na bolsa.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1 - </w:t>
      </w:r>
      <w:r>
        <w:t>Somente em casos especiais quando for reação por infecção bacteriana no sangue;</w:t>
      </w:r>
      <w:r>
        <w:br/>
      </w:r>
      <w:r>
        <w:t xml:space="preserve">2 - </w:t>
      </w:r>
      <w:r>
        <w:t>Só é feito quando for possível vir a bolsa;</w:t>
      </w:r>
      <w:r>
        <w:br/>
      </w:r>
      <w:r>
        <w:br/>
      </w:r>
      <w:r>
        <w:t>Por que essa atividade acontece?</w:t>
      </w:r>
    </w:p>
    <w:p>
      <w:pPr>
        <w:pStyle w:val="ModelerNormal"/>
        <w:spacing w:afterAutospacing="1"/>
      </w:pPr>
      <w:r>
        <w:t>Essa atividade acontece porque é necessário realizar os exames requisitados pela Agência transfusional para obter os resultados em relação à reação transfusional do receptor.</w:t>
      </w:r>
    </w:p>
    <w:p>
      <w:pPr>
        <w:pStyle w:val="ModelerNormal"/>
        <w:spacing w:afterAutospacing="1"/>
      </w:pPr>
      <w:r>
        <w:t> </w:t>
      </w:r>
      <w:r>
        <w:t>PORTARIA Nº 158, DE 4 DE FEVEREIRO DE 2016</w:t>
      </w:r>
    </w:p>
    <w:p>
      <w:pPr>
        <w:pStyle w:val="ModelerNormal"/>
        <w:spacing w:afterAutospacing="1"/>
      </w:pPr>
      <w:r>
        <w:t>Art. 178. Nos exames de sangue do receptor, a tipagem ABO e RhD e a pesquisa de anticorpos antieritrocitários irregulares serão realizadas nas amostras de sangue do receptor de componentes eritrocitários.</w:t>
      </w:r>
      <w:r>
        <w:br/>
      </w:r>
      <w:r>
        <w:t>§ 18. Recomenda-se a realização da fenotipagem para os antígenos eritrocitários no sangue do receptor, dos sistemas Rh (E, e, C, c), Kell (K), Duffy (Fya, Fyb), Kidd (Jka, Jkb) e MNS (S, s), para pacientes aloimunizados contra antígenos eritrocitários ou que estão ou poderão entrar em esquema de transfusão crônica, com o objetivo de auxiliar a identificação de possíveis anticorpos antieritrocitários irregulares.</w:t>
      </w:r>
      <w:r>
        <w:t> </w:t>
      </w:r>
    </w:p>
    <w:p>
      <w:pPr>
        <w:pStyle w:val="bizHeading4"/>
      </w:pPr>
      <w:bookmarkStart w:id="15" w:name="_Toc256000011"/>
      <w:r>
        <w:drawing>
          <wp:inline>
            <wp:extent cx="152421" cy="152421"/>
            <wp:docPr id="70627807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459827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 Registrar resultado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> Laboratório Especializado de Imunohematologia Receptor - LIE</w:t>
      </w:r>
      <w:r>
        <w:br/>
      </w:r>
      <w:r>
        <w:br/>
      </w:r>
      <w:r>
        <w:t>O que:</w:t>
      </w:r>
      <w:r>
        <w:t> </w:t>
      </w:r>
      <w:r>
        <w:t>Registar resultados</w:t>
      </w:r>
      <w:r>
        <w:br/>
      </w:r>
      <w:r>
        <w:br/>
      </w:r>
      <w:r>
        <w:t>Quando:</w:t>
      </w:r>
      <w:r>
        <w:br/>
      </w:r>
      <w:r>
        <w:br/>
      </w:r>
      <w:r>
        <w:t>Como</w:t>
      </w:r>
      <w:r>
        <w:br/>
      </w:r>
      <w:r>
        <w:t>Tarefa 1</w:t>
      </w:r>
      <w:r>
        <w:t>: Registrar resultado dos testes realizados;</w:t>
      </w:r>
      <w:r>
        <w:br/>
      </w:r>
      <w:r>
        <w:t>Tarefa 2</w:t>
      </w:r>
      <w:r>
        <w:t>: Preencher os resultados nos campos de Investigação de Reação Transfusional (Imagem em anexo abaixo);</w:t>
      </w:r>
      <w:r>
        <w:br/>
      </w:r>
      <w:r>
        <w:t>Tarefa 3:</w:t>
      </w:r>
      <w:r>
        <w:t xml:space="preserve"> Elaborar laudo com os resultados da Investigação de Reação Transfusional;</w:t>
      </w:r>
      <w:r>
        <w:br/>
      </w:r>
      <w:r>
        <w:t>Tarefa 4</w:t>
      </w:r>
      <w:r>
        <w:t>: Assinar o laudo médico;</w:t>
      </w:r>
    </w:p>
    <w:p>
      <w:pPr>
        <w:pStyle w:val="ModelerNormal"/>
        <w:spacing w:afterAutospacing="1"/>
      </w:pPr>
      <w:r>
        <w:t xml:space="preserve">Observação: </w:t>
      </w:r>
      <w:r>
        <w:br/>
      </w:r>
      <w:r>
        <w:t xml:space="preserve">1- </w:t>
      </w:r>
      <w:r>
        <w:t>O laudo deve conter a assinatura do técnico responsável  que realizou os procedimentos de Investigação de Reação Transfusional ou pelo responsável do setor.</w:t>
      </w:r>
      <w:r>
        <w:br/>
      </w:r>
      <w:r>
        <w:br/>
      </w:r>
      <w:r>
        <w:t>Por que essa atividade acontece?</w:t>
      </w:r>
      <w:r>
        <w:t> </w:t>
      </w:r>
    </w:p>
    <w:p>
      <w:pPr>
        <w:pStyle w:val="ModelerNormal"/>
        <w:spacing w:afterAutospacing="1"/>
      </w:pPr>
      <w:r>
        <w:t>Essa atividade acontece porque é necessário registrar os dos resultados dos testes realizados de Investigação de Reação Transfusional.</w:t>
      </w:r>
      <w:r>
        <w:br/>
      </w:r>
      <w:r>
        <w:br/>
      </w:r>
      <w:r>
        <w:t>Imagem 01 - Laudo de investigação de reação transfusional.</w:t>
      </w:r>
    </w:p>
    <w:p>
      <w:pPr>
        <w:pStyle w:val="ModelerNormal"/>
        <w:spacing w:afterAutospacing="1"/>
      </w:pPr>
      <w:r>
        <w:drawing>
          <wp:inline>
            <wp:extent cx="7058025" cy="8801100"/>
            <wp:docPr id="10002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08184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7058025" cy="880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izHeading4"/>
      </w:pPr>
      <w:bookmarkStart w:id="16" w:name="_Toc256000012"/>
      <w:r>
        <w:drawing>
          <wp:inline>
            <wp:extent cx="152421" cy="152421"/>
            <wp:docPr id="101686862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01776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8. Enviar laudo de investigação</w:t>
      </w:r>
      <w:bookmarkEnd w:id="16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Descrição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Onde:</w:t>
      </w:r>
      <w:r>
        <w:t> Sistema SIHRO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O que:</w:t>
      </w:r>
      <w:r>
        <w:t> </w:t>
      </w:r>
      <w:r>
        <w:t>Enviar laudo de investigação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Quando: </w:t>
      </w:r>
      <w:r>
        <w:t>Após registro dos resultados</w:t>
      </w:r>
      <w:r>
        <w:t xml:space="preserve"> 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Como</w:t>
      </w:r>
    </w:p>
    <w:p>
      <w:pPr>
        <w:pStyle w:val="ModelerNormal"/>
        <w:spacing w:afterAutospacing="1"/>
      </w:pPr>
      <w:r>
        <w:t xml:space="preserve">Tarefa 1: </w:t>
      </w:r>
      <w:r>
        <w:t>Disponibilizar o laudo de investigação de Reação Transfusional através do sistema SIHRO.</w:t>
      </w:r>
    </w:p>
    <w:p>
      <w:pPr>
        <w:pStyle w:val="ModelerNormal"/>
        <w:spacing w:afterAutospacing="1"/>
      </w:pPr>
      <w:r>
        <w:t>Obs.:</w:t>
      </w:r>
    </w:p>
    <w:p>
      <w:pPr>
        <w:pStyle w:val="ModelerNormal"/>
        <w:spacing w:afterAutospacing="1"/>
      </w:pPr>
      <w:r>
        <w:t>1 - O técnico irá enviar uma via do laudo a Agência Transfusional através do sistema SIHRO;</w:t>
      </w:r>
    </w:p>
    <w:p>
      <w:pPr>
        <w:pStyle w:val="ModelerNormal"/>
        <w:spacing w:afterAutospacing="1"/>
      </w:pPr>
      <w:r>
        <w:t>2 - Disponibilizará o laudo para o Hospital/Clínica através do sistema SIHRO;</w:t>
      </w:r>
    </w:p>
    <w:p>
      <w:pPr>
        <w:pStyle w:val="ModelerNormal"/>
        <w:spacing w:afterAutospacing="1"/>
      </w:pPr>
      <w:r>
        <w:t>3 - De 03 em 03 meses o LIE enviará os laudos para a AGEVISA, podendo está compilando os laudos e baixando e enviando via SEI;</w:t>
      </w:r>
    </w:p>
    <w:p>
      <w:pPr>
        <w:pStyle w:val="ModelerNormal"/>
        <w:spacing w:afterAutospacing="1"/>
      </w:pPr>
      <w:r>
        <w:t>4 - Modelo de laudo na imagem 01.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Por que essa atividade acontece?</w:t>
      </w:r>
      <w:r>
        <w:t> </w:t>
      </w:r>
    </w:p>
    <w:p>
      <w:pPr>
        <w:pStyle w:val="ModelerNormal"/>
        <w:spacing w:afterAutospacing="1"/>
      </w:pPr>
      <w:r>
        <w:t xml:space="preserve">Essa atividade acontece porque é necessário a disponibilização do laudo de investigação de Reação Transfusional após o resultado. 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Imagem 01 - Laudo de investigação de reação transfusional.</w:t>
      </w:r>
    </w:p>
    <w:p>
      <w:pPr>
        <w:pStyle w:val="ModelerNormal"/>
        <w:spacing w:afterAutospacing="1"/>
      </w:pPr>
      <w:r>
        <w:drawing>
          <wp:inline>
            <wp:extent cx="7058025" cy="8801100"/>
            <wp:docPr id="10002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37194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7058025" cy="880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bizHeading2"/>
      </w:pPr>
      <w:bookmarkStart w:id="17" w:name="Id_480a5c9644584d9db47842d78842b3f1"/>
      <w:bookmarkStart w:id="18" w:name="_Toc256000013"/>
      <w:r>
        <w:t>Hospital/Clínica</w:t>
      </w:r>
      <w:bookmarkEnd w:id="18"/>
    </w:p>
    <w:p>
      <w:pPr>
        <w:pStyle w:val="bizHeading3"/>
      </w:pPr>
      <w:bookmarkEnd w:id="17"/>
      <w:bookmarkStart w:id="19" w:name="_Toc256000014"/>
      <w:r>
        <w:t>Elementos do processo</w:t>
      </w:r>
      <w:bookmarkEnd w:id="19"/>
    </w:p>
    <w:p>
      <w:pPr>
        <w:pStyle w:val="bizHeading4"/>
      </w:pPr>
      <w:bookmarkStart w:id="20" w:name="_Toc256000015"/>
      <w:r>
        <w:drawing>
          <wp:inline>
            <wp:extent cx="152421" cy="152421"/>
            <wp:docPr id="38505721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50096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Realizar relatório pós transfusional do receptor</w:t>
      </w:r>
      <w:bookmarkEnd w:id="2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Sistema SIHRO</w:t>
      </w:r>
      <w:r>
        <w:br/>
      </w:r>
      <w:r>
        <w:br/>
      </w:r>
      <w:r>
        <w:t xml:space="preserve">O que: </w:t>
      </w:r>
      <w:r>
        <w:t>Realizar relatório pós-transfusional do receptor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Acessar sistema SIHRO (acesso externo) com login e senha;</w:t>
      </w:r>
      <w:r>
        <w:br/>
      </w:r>
      <w:r>
        <w:t>Tarefa 2:</w:t>
      </w:r>
      <w:r>
        <w:t xml:space="preserve"> Preencher campo de informações se a bolsa foi usada para transfusão; 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1- </w:t>
      </w:r>
      <w:r>
        <w:t>Caso a bolsa não seja utilizada para transfusão, a bolsa poderá ser reintegrada;</w:t>
      </w:r>
      <w:r>
        <w:br/>
      </w:r>
      <w:r>
        <w:t xml:space="preserve">2- </w:t>
      </w:r>
      <w:r>
        <w:t>Ao informar que a bolsa foi utilizada para transfusões, irá se expandir aba para informar se houve reação transfusional, e se ela é de grau leve, moderada ou grave;</w:t>
      </w:r>
      <w:r>
        <w:t> </w:t>
      </w:r>
      <w:r>
        <w:br/>
      </w:r>
      <w:r>
        <w:t xml:space="preserve">3- </w:t>
      </w:r>
      <w:r>
        <w:t>Podendo também descrever demais informações sobre a reação do paciente;</w:t>
      </w:r>
      <w:r>
        <w:br/>
      </w:r>
      <w:r>
        <w:t xml:space="preserve">4- </w:t>
      </w:r>
      <w:r>
        <w:t>Deverá constar a assinatura do médico responsável pelo paciente identificando os sintomas apresentados.</w:t>
      </w:r>
      <w:r>
        <w:br/>
      </w:r>
      <w:r>
        <w:t xml:space="preserve">Tarefa 3: </w:t>
      </w:r>
      <w:r>
        <w:t>Identificar no Relatório o Grau de reação;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>1-  </w:t>
      </w:r>
      <w:r>
        <w:t>O responsável pelo paciente deverá identificar no relatório qual a gravidade/evolução da reação, os sintomas apresentados e descrever detalhadamente os eventos adversos;</w:t>
      </w:r>
      <w:r>
        <w:br/>
      </w:r>
      <w:r>
        <w:t xml:space="preserve">2- </w:t>
      </w:r>
      <w:r>
        <w:t>A amostra só é obrigatória nos casos das reações de: febre, calafrios, cianose de extremidade, cianose labial, dispnéia, dor abdominal, dor lombar, dor torácica, hipertensão arterial, náuseas, vômitos, ansiedade, taquicardia, taquipnéia, tremores, hemoglobinúria ou outros que não apareçam no classificados (imagem abaixo);</w:t>
      </w:r>
      <w:r>
        <w:br/>
      </w:r>
      <w:r>
        <w:t xml:space="preserve">Tarefa 4: </w:t>
      </w:r>
      <w:r>
        <w:t>Enviar relatório transfusional referente a bolsa.</w:t>
      </w:r>
    </w:p>
    <w:p>
      <w:pPr>
        <w:pStyle w:val="ModelerNormal"/>
        <w:spacing w:afterAutospacing="1"/>
      </w:pPr>
      <w:r>
        <w:t>Observações: </w:t>
      </w:r>
      <w:r>
        <w:br/>
      </w:r>
      <w:r>
        <w:t xml:space="preserve">1- </w:t>
      </w:r>
      <w:r>
        <w:t>Em caso de reação transfusional, ao realizar o relatório da bolsa e enviado um amostra de sangue do receptor para que seja realizado investigação do motivo da reação transfusional;</w:t>
      </w:r>
      <w:r>
        <w:br/>
      </w:r>
      <w:r>
        <w:t xml:space="preserve">2- </w:t>
      </w:r>
      <w:r>
        <w:t>Após envio da amostra, é aguardada a realização da investigação de reação transfusional e o laudo com resultados.</w:t>
      </w:r>
      <w:r>
        <w:br/>
      </w:r>
      <w:r>
        <w:t xml:space="preserve">3- </w:t>
      </w:r>
      <w:r>
        <w:t>O responsável pela entrega da amostra pós-transfusional, deverá assinar no relatório com seu nome, data e hora no ato da entrega;</w:t>
      </w:r>
      <w:r>
        <w:br/>
      </w:r>
      <w:r>
        <w:t xml:space="preserve">4- </w:t>
      </w:r>
      <w:r>
        <w:t>O técnico da AT, também deverá assinar no relatório com seu nome completo, data e hora do recebimento (imagem abaixo);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receber do hospital/clínica o relatório de reação transfusional para que a Agência Transfusional tenha conhecimento do ocorrido e tome as devidas providências.</w:t>
      </w:r>
      <w:r>
        <w:br/>
      </w:r>
      <w:r>
        <w:br/>
      </w:r>
      <w:r>
        <w:t>Imagem 01 - Modelo do Relatório de reação transfusional completo:</w:t>
      </w:r>
    </w:p>
    <w:p>
      <w:pPr>
        <w:pStyle w:val="ModelerNormal"/>
        <w:spacing w:afterAutospacing="1"/>
      </w:pPr>
      <w:r>
        <w:drawing>
          <wp:inline>
            <wp:extent cx="4505325" cy="6419850"/>
            <wp:docPr id="10002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169284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641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 </w:t>
      </w:r>
      <w:r>
        <w:br/>
      </w:r>
      <w:r>
        <w:t> </w:t>
      </w:r>
      <w:r>
        <w:br/>
      </w:r>
      <w:r>
        <w:t> 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i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27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168.53pt;height:46.21pt" stroked="f">
          <v:imagedata r:id="rId1" o:title=""/>
        </v:shape>
      </w:pict>
    </w:r>
    <w:r>
      <w:rPr>
        <w:noProof/>
      </w:rPr>
      <w:pict>
        <v:shape id="Picture 18" o:spid="_x0000_s2050" type="#_x0000_t75" style="width:602.95pt;height:432.85pt;margin-top:-35.25pt;margin-left:-84.45pt;mso-height-relative:margin;mso-width-relative:margin;position:absolute;visibility:visible;z-index:-251655168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3" type="#_x0000_t75" style="width:96.61pt;height:26.43pt" stroked="f">
          <v:imagedata r:id="rId1" o:title="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335C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310A"/>
    <w:rsid w:val="00734243"/>
    <w:rsid w:val="00743611"/>
    <w:rsid w:val="00753E90"/>
    <w:rsid w:val="00760E2F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6FC5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A79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57DBB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820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95652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Ttulo1C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Ttulo2C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Ttulo3C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Ttulo4C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Ttulo5C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Ttulo6C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Ttulo1Car">
    <w:name w:val="Título 1 C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EncabezadoC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PiedepginaC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TextoindependienteC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1">
    <w:name w:val="Lista1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TextodegloboC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EncabezadoCar">
    <w:name w:val="Encabezado C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Ttulo2Car">
    <w:name w:val="Título 2 C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TextoindependienteCar">
    <w:name w:val="Texto independiente C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Ttulo3Car">
    <w:name w:val="Título 3 C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Ttulo4Car">
    <w:name w:val="Título 4 C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Ttulo5Car">
    <w:name w:val="Título 5 C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PiedepginaCar">
    <w:name w:val="Pie de página C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Ttulo6Car">
    <w:name w:val="Título 6 C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SinespaciadoC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SinespaciadoCar">
    <w:name w:val="Sin espaciado C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tuloC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tuloCar">
    <w:name w:val="Título C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tuloC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tuloCar">
    <w:name w:val="Subtítulo C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image" Target="media/image6.png" /><Relationship Id="rId14" Type="http://schemas.openxmlformats.org/officeDocument/2006/relationships/header" Target="header2.xml" /><Relationship Id="rId15" Type="http://schemas.openxmlformats.org/officeDocument/2006/relationships/header" Target="header3.xml" /><Relationship Id="rId16" Type="http://schemas.openxmlformats.org/officeDocument/2006/relationships/footer" Target="footer4.xml" /><Relationship Id="rId17" Type="http://schemas.openxmlformats.org/officeDocument/2006/relationships/header" Target="header4.xml" /><Relationship Id="rId18" Type="http://schemas.openxmlformats.org/officeDocument/2006/relationships/image" Target="media/image9.emf" /><Relationship Id="rId19" Type="http://schemas.openxmlformats.org/officeDocument/2006/relationships/image" Target="media/image10.png" /><Relationship Id="rId2" Type="http://schemas.openxmlformats.org/officeDocument/2006/relationships/webSettings" Target="webSettings.xml" /><Relationship Id="rId20" Type="http://schemas.openxmlformats.org/officeDocument/2006/relationships/image" Target="media/image11.png" /><Relationship Id="rId21" Type="http://schemas.openxmlformats.org/officeDocument/2006/relationships/image" Target="media/image12.png" /><Relationship Id="rId22" Type="http://schemas.openxmlformats.org/officeDocument/2006/relationships/image" Target="media/image13.png" /><Relationship Id="rId23" Type="http://schemas.openxmlformats.org/officeDocument/2006/relationships/image" Target="media/image14.png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7.png" /><Relationship Id="rId2" Type="http://schemas.openxmlformats.org/officeDocument/2006/relationships/image" Target="media/image8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27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2014-03-13T20:06:00Z</dcterms:created>
  <dcterms:modified xsi:type="dcterms:W3CDTF">2021-06-30T16:18:00Z</dcterms:modified>
</cp:coreProperties>
</file>