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3 -->
  <w:body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izTitle"/>
        <w:jc w:val="right"/>
      </w:pPr>
      <w:bookmarkStart w:id="0" w:name="_Toc256000000"/>
      <w:r w:rsidRPr="00275F9A">
        <w:t>Redesenhos dos fluxos de tratamento e distribuição da bolsas de hemocomponentes (ciclo do sangue) 2.0</w:t>
      </w:r>
      <w:bookmarkEnd w:id="0"/>
    </w:p>
    <w:p w:rsidR="00B603BE" w:rsidRPr="00275F9A" w:rsidP="00032CAE">
      <w:pPr>
        <w:pStyle w:val="bizSubtitle"/>
        <w:jc w:val="right"/>
      </w:pPr>
      <w:bookmarkStart w:id="1" w:name="_Toc256000001"/>
      <w:r w:rsidRPr="00275F9A">
        <w:t>Bizagi Modeler</w:t>
      </w:r>
      <w:bookmarkEnd w:id="1"/>
    </w:p>
    <w:p w:rsidR="00B603BE" w:rsidRPr="00275F9A">
      <w:pPr>
        <w:sectPr w:rsidSect="00503EE8">
          <w:headerReference w:type="default" r:id="rId6"/>
          <w:footerReference w:type="even" r:id="rId7"/>
          <w:footerReference w:type="default" r:id="rId8"/>
          <w:footerReference w:type="first" r:id="rId9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</w:p>
    <w:p w:rsidR="00AE3ACF" w:rsidRPr="008D2D31" w:rsidP="00854218">
      <w:pPr>
        <w:jc w:val="center"/>
      </w:pPr>
      <w:r w:rsidRPr="008D2D31">
        <w:t>Índice</w:t>
      </w:r>
      <w:r w:rsidRPr="008D2D31">
        <w:fldChar w:fldCharType="begin"/>
      </w:r>
      <w:r w:rsidRPr="008D2D31">
        <w:instrText>TOC \o "1-4" \h \z \u</w:instrText>
      </w:r>
      <w:r w:rsidRPr="008D2D31">
        <w:fldChar w:fldCharType="separate"/>
      </w:r>
    </w:p>
    <w:p>
      <w:pPr>
        <w:pStyle w:val="TOC1"/>
        <w:tabs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0" w:history="1">
        <w:r w:rsidRPr="00275F9A" w:rsidR="00B603BE">
          <w:rPr>
            <w:rStyle w:val="Hyperlink"/>
          </w:rPr>
          <w:t>Redesenhos dos fluxos de tratamento e distribuição da bolsas de hemocomponentes (ciclo do sangue) 2.0</w:t>
        </w:r>
        <w:r>
          <w:tab/>
        </w:r>
        <w:r>
          <w:fldChar w:fldCharType="begin"/>
        </w:r>
        <w:r>
          <w:instrText xml:space="preserve"> PAGEREF _Toc256000000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2"/>
        <w:rPr>
          <w:rFonts w:ascii="Calibri" w:hAnsi="Calibri"/>
          <w:noProof/>
          <w:sz w:val="22"/>
        </w:rPr>
      </w:pPr>
      <w:hyperlink w:anchor="_Toc256000001" w:history="1">
        <w:r w:rsidRPr="00275F9A" w:rsidR="00B603BE">
          <w:rPr>
            <w:rStyle w:val="Hyperlink"/>
          </w:rPr>
          <w:t>Bizagi Modeler</w:t>
        </w:r>
        <w:r>
          <w:tab/>
        </w:r>
        <w:r>
          <w:fldChar w:fldCharType="begin"/>
        </w:r>
        <w:r>
          <w:instrText xml:space="preserve"> PAGEREF _Toc256000001 \h </w:instrText>
        </w:r>
        <w:r>
          <w:fldChar w:fldCharType="separate"/>
        </w:r>
        <w:r>
          <w:t>2</w:t>
        </w:r>
        <w:r>
          <w:fldChar w:fldCharType="end"/>
        </w:r>
      </w:hyperlink>
    </w:p>
    <w:p>
      <w:pPr>
        <w:pStyle w:val="TOC1"/>
        <w:tabs>
          <w:tab w:val="left" w:pos="403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2" w:history="1">
        <w:r>
          <w:rPr>
            <w:rStyle w:val="Hyperlink"/>
          </w:rPr>
          <w:t>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TO BE - Subprocesso da Análises da Qualidade do CH e CHF - Interior</w:t>
        </w:r>
        <w:r>
          <w:tab/>
        </w:r>
        <w:r>
          <w:fldChar w:fldCharType="begin"/>
        </w:r>
        <w:r>
          <w:instrText xml:space="preserve"> PAGEREF _Toc256000002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left" w:pos="800"/>
        </w:tabs>
        <w:rPr>
          <w:rFonts w:ascii="Calibri" w:hAnsi="Calibri"/>
          <w:noProof/>
          <w:sz w:val="22"/>
        </w:rPr>
      </w:pPr>
      <w:hyperlink w:anchor="_Toc256000003" w:history="1">
        <w:r>
          <w:rPr>
            <w:rStyle w:val="Hyperlink"/>
          </w:rPr>
          <w:t>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Subprocesso da Análises da Qualidade do CH e CHF Interior - TO BE</w:t>
        </w:r>
        <w:r>
          <w:tab/>
        </w:r>
        <w:r>
          <w:fldChar w:fldCharType="begin"/>
        </w:r>
        <w:r>
          <w:instrText xml:space="preserve"> PAGEREF _Toc256000003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3"/>
        <w:rPr>
          <w:rFonts w:ascii="Calibri" w:hAnsi="Calibri"/>
          <w:noProof/>
          <w:sz w:val="22"/>
        </w:rPr>
      </w:pPr>
      <w:hyperlink w:anchor="_Toc256000004" w:history="1">
        <w:r>
          <w:rPr>
            <w:rStyle w:val="Hyperlink"/>
          </w:rPr>
          <w:t>1.1.1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Elementos do processo</w:t>
        </w:r>
        <w:r>
          <w:tab/>
        </w:r>
        <w:r>
          <w:fldChar w:fldCharType="begin"/>
        </w:r>
        <w:r>
          <w:instrText xml:space="preserve"> PAGEREF _Toc256000004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5" w:history="1">
        <w:r>
          <w:rPr>
            <w:rStyle w:val="Hyperlink"/>
          </w:rPr>
          <w:t>1.1.1.1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578807538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1. Realizar procedimentos  na bolsa</w:t>
        </w:r>
        <w:r>
          <w:tab/>
        </w:r>
        <w:r>
          <w:fldChar w:fldCharType="begin"/>
        </w:r>
        <w:r>
          <w:instrText xml:space="preserve"> PAGEREF _Toc256000005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6" w:history="1">
        <w:r>
          <w:rPr>
            <w:rStyle w:val="Hyperlink"/>
          </w:rPr>
          <w:t>1.1.1.2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86758959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2. Realizar inspeção visual</w:t>
        </w:r>
        <w:r>
          <w:tab/>
        </w:r>
        <w:r>
          <w:fldChar w:fldCharType="begin"/>
        </w:r>
        <w:r>
          <w:instrText xml:space="preserve"> PAGEREF _Toc256000006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7" w:history="1">
        <w:r>
          <w:rPr>
            <w:rStyle w:val="Hyperlink"/>
          </w:rPr>
          <w:t>1.1.1.3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1230160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3. Retirar amostra</w:t>
        </w:r>
        <w:r>
          <w:tab/>
        </w:r>
        <w:r>
          <w:fldChar w:fldCharType="begin"/>
        </w:r>
        <w:r>
          <w:instrText xml:space="preserve"> PAGEREF _Toc256000007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8" w:history="1">
        <w:r>
          <w:rPr>
            <w:rStyle w:val="Hyperlink"/>
          </w:rPr>
          <w:t>1.1.1.4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4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89234638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4. Homogeneizar amostra</w:t>
        </w:r>
        <w:r>
          <w:tab/>
        </w:r>
        <w:r>
          <w:fldChar w:fldCharType="begin"/>
        </w:r>
        <w:r>
          <w:instrText xml:space="preserve"> PAGEREF _Toc256000008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9" w:history="1">
        <w:r>
          <w:rPr>
            <w:rStyle w:val="Hyperlink"/>
          </w:rPr>
          <w:t>1.1.1.5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5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0303288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5. Realizar hemograma</w:t>
        </w:r>
        <w:r>
          <w:tab/>
        </w:r>
        <w:r>
          <w:fldChar w:fldCharType="begin"/>
        </w:r>
        <w:r>
          <w:instrText xml:space="preserve"> PAGEREF _Toc256000009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0" w:history="1">
        <w:r>
          <w:rPr>
            <w:rStyle w:val="Hyperlink"/>
          </w:rPr>
          <w:t>1.1.1.6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8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597898078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6. Realizar contagem no microscópio</w:t>
        </w:r>
        <w:r>
          <w:tab/>
        </w:r>
        <w:r>
          <w:fldChar w:fldCharType="begin"/>
        </w:r>
        <w:r>
          <w:instrText xml:space="preserve"> PAGEREF _Toc256000010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1" w:history="1">
        <w:r>
          <w:rPr>
            <w:rStyle w:val="Hyperlink"/>
          </w:rPr>
          <w:t>1.1.1.7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95746147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7. Centrifugar amostra</w:t>
        </w:r>
        <w:r>
          <w:tab/>
        </w:r>
        <w:r>
          <w:fldChar w:fldCharType="begin"/>
        </w:r>
        <w:r>
          <w:instrText xml:space="preserve"> PAGEREF _Toc256000011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2" w:history="1">
        <w:r>
          <w:rPr>
            <w:rStyle w:val="Hyperlink"/>
          </w:rPr>
          <w:t>1.1.1.8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9073821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8. Realizar leitura no Bioplus</w:t>
        </w:r>
        <w:r>
          <w:tab/>
        </w:r>
        <w:r>
          <w:fldChar w:fldCharType="begin"/>
        </w:r>
        <w:r>
          <w:instrText xml:space="preserve"> PAGEREF _Toc256000012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3" w:history="1">
        <w:r>
          <w:rPr>
            <w:rStyle w:val="Hyperlink"/>
          </w:rPr>
          <w:t>1.1.1.9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4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2481266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4. Armazenar bolsa</w:t>
        </w:r>
        <w:r>
          <w:tab/>
        </w:r>
        <w:r>
          <w:fldChar w:fldCharType="begin"/>
        </w:r>
        <w:r>
          <w:instrText xml:space="preserve"> PAGEREF _Toc256000013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4" w:history="1">
        <w:r>
          <w:rPr>
            <w:rStyle w:val="Hyperlink"/>
          </w:rPr>
          <w:t>1.1.1.10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6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741281144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Resultados disponíveis</w:t>
        </w:r>
        <w:r>
          <w:tab/>
        </w:r>
        <w:r>
          <w:fldChar w:fldCharType="begin"/>
        </w:r>
        <w:r>
          <w:instrText xml:space="preserve"> PAGEREF _Toc256000014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5" w:history="1">
        <w:r>
          <w:rPr>
            <w:rStyle w:val="Hyperlink"/>
          </w:rPr>
          <w:t>1.1.1.11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7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26233667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Expurgar</w:t>
        </w:r>
        <w:r>
          <w:tab/>
        </w:r>
        <w:r>
          <w:fldChar w:fldCharType="begin"/>
        </w:r>
        <w:r>
          <w:instrText xml:space="preserve"> PAGEREF _Toc256000015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6" w:history="1">
        <w:r>
          <w:rPr>
            <w:rStyle w:val="Hyperlink"/>
          </w:rPr>
          <w:t>1.1.1.12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8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10392089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4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3. Registrar expurgo</w:t>
        </w:r>
        <w:r>
          <w:tab/>
        </w:r>
        <w:r>
          <w:fldChar w:fldCharType="begin"/>
        </w:r>
        <w:r>
          <w:instrText xml:space="preserve"> PAGEREF _Toc256000016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7" w:history="1">
        <w:r>
          <w:rPr>
            <w:rStyle w:val="Hyperlink"/>
          </w:rPr>
          <w:t>1.1.1.13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9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73644097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Resultados disponíveis</w:t>
        </w:r>
        <w:r>
          <w:tab/>
        </w:r>
        <w:r>
          <w:fldChar w:fldCharType="begin"/>
        </w:r>
        <w:r>
          <w:instrText xml:space="preserve"> PAGEREF _Toc256000017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8" w:history="1">
        <w:r>
          <w:rPr>
            <w:rStyle w:val="Hyperlink"/>
          </w:rPr>
          <w:t>1.1.1.14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3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7092361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4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9. Registrar resultado</w:t>
        </w:r>
        <w:r>
          <w:tab/>
        </w:r>
        <w:r>
          <w:fldChar w:fldCharType="begin"/>
        </w:r>
        <w:r>
          <w:instrText xml:space="preserve"> PAGEREF _Toc256000018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9" w:history="1">
        <w:r>
          <w:rPr>
            <w:rStyle w:val="Hyperlink"/>
          </w:rPr>
          <w:t>1.1.1.15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38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317794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Expurgar</w:t>
        </w:r>
        <w:r>
          <w:tab/>
        </w:r>
        <w:r>
          <w:fldChar w:fldCharType="begin"/>
        </w:r>
        <w:r>
          <w:instrText xml:space="preserve"> PAGEREF _Toc256000019 \h </w:instrText>
        </w:r>
        <w:r>
          <w:fldChar w:fldCharType="separate"/>
        </w:r>
        <w:r>
          <w:t>23</w:t>
        </w:r>
        <w:r>
          <w:fldChar w:fldCharType="end"/>
        </w:r>
      </w:hyperlink>
    </w:p>
    <w:p w:rsidR="00AE3ACF" w:rsidRPr="008D2D31" w:rsidP="00854218">
      <w:pPr>
        <w:jc w:val="center"/>
        <w:sectPr w:rsidSect="00503EE8">
          <w:headerReference w:type="even" r:id="rId15"/>
          <w:headerReference w:type="default" r:id="rId16"/>
          <w:footerReference w:type="default" r:id="rId17"/>
          <w:headerReference w:type="first" r:id="rId18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  <w:r w:rsidRPr="008D2D31">
        <w:fldChar w:fldCharType="end"/>
      </w:r>
    </w:p>
    <w:p>
      <w:pPr>
        <w:pStyle w:val="bizHeading1"/>
      </w:pPr>
      <w:bookmarkStart w:id="2" w:name="Id_fc3e7181b01647dcadcbc690e7cb6420"/>
      <w:bookmarkStart w:id="3" w:name="_Toc256000002"/>
      <w:r>
        <w:t>TO BE - Subprocesso da Análises da Qualidade do CH e CHF - Interior</w:t>
      </w:r>
      <w:bookmarkEnd w:id="3"/>
    </w:p>
    <w:p>
      <w:pPr>
        <w:jc w:val="center"/>
      </w:pPr>
      <w:bookmarkEnd w:id="2"/>
      <w:r>
        <w:drawing>
          <wp:inline>
            <wp:extent cx="7898130" cy="3609604"/>
            <wp:docPr id="10000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154595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7898130" cy="36096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pgSz w:w="15840" w:h="12240" w:orient="landscape"/>
          <w:pgMar w:top="1616" w:right="1701" w:bottom="1418" w:left="1701" w:header="708" w:footer="708"/>
          <w:cols w:space="708"/>
        </w:sectPr>
      </w:pPr>
    </w:p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Esse processo tem como escopo o redesenho do processo </w:t>
      </w:r>
      <w:r>
        <w:t>Análises da Qualidade dos Hemocomponentes Concentrado de Hemácias (CH) e Concentrado de Hemácias Filtradas (CHF) - Capital</w:t>
      </w:r>
      <w:r>
        <w:t>, desde a necessidade de realização das análises pelo Controle de Qualidade até a disponibilização dos resultados via sistema SIHRO e das bolsas aprovadas para o Processamento.</w:t>
      </w:r>
    </w:p>
    <w:p>
      <w:pPr>
        <w:pStyle w:val="BoldModelerNormal"/>
      </w:pPr>
      <w:r>
        <w:t>SUPERINTENDÊNCIA ESTADUAL DE TECNOLOGIA DA INFORMAÇÃO E COMUNICAÇÃO</w:t>
      </w:r>
    </w:p>
    <w:p>
      <w:pPr>
        <w:pStyle w:val="ModelerNormal"/>
        <w:spacing w:afterAutospacing="1"/>
      </w:pPr>
      <w:bookmarkStart w:id="4" w:name="_dx_frag_StartFragment"/>
      <w:bookmarkEnd w:id="4"/>
      <w:r>
        <w:t>Delner Freire</w:t>
      </w:r>
      <w:r>
        <w:br/>
      </w:r>
      <w:r>
        <w:t>Superintendente</w:t>
      </w:r>
      <w:r>
        <w:br/>
      </w:r>
      <w:r>
        <w:br/>
      </w:r>
      <w:r>
        <w:t>Abdenildo Sobreira</w:t>
      </w:r>
      <w:r>
        <w:br/>
      </w:r>
      <w:r>
        <w:t>Diretor Técnico</w:t>
      </w:r>
      <w:r>
        <w:br/>
      </w:r>
      <w:r>
        <w:br/>
      </w:r>
      <w:r>
        <w:t>Henrique Douglas Freire</w:t>
      </w:r>
      <w:r>
        <w:br/>
      </w:r>
      <w:r>
        <w:t>Coordenador de Gestão Estratégica</w:t>
      </w:r>
      <w:bookmarkStart w:id="5" w:name="_dx_frag_EndFragment"/>
      <w:bookmarkEnd w:id="5"/>
      <w:r>
        <w:t xml:space="preserve"> </w:t>
      </w:r>
    </w:p>
    <w:p>
      <w:pPr>
        <w:pStyle w:val="BoldModelerNormal"/>
      </w:pPr>
      <w:r>
        <w:t>ELABORAÇÃO</w:t>
      </w:r>
    </w:p>
    <w:p>
      <w:pPr>
        <w:pStyle w:val="ModelerNormal"/>
        <w:spacing w:afterAutospacing="1"/>
      </w:pPr>
      <w:r>
        <w:t>Geciele Gonçalves  - Analista de Processos</w:t>
      </w:r>
      <w:r>
        <w:br/>
      </w:r>
      <w:r>
        <w:t>Thaís Roca - Analista de Processos</w:t>
      </w:r>
      <w:r>
        <w:br/>
      </w:r>
      <w:r>
        <w:t>Crislâny Andrade - Analista de Processo</w:t>
      </w:r>
      <w:r>
        <w:t>s</w:t>
      </w:r>
    </w:p>
    <w:p>
      <w:pPr>
        <w:pStyle w:val="BoldModelerNormal"/>
      </w:pPr>
      <w:r>
        <w:t>COLABORAÇÃO</w:t>
      </w:r>
    </w:p>
    <w:p>
      <w:pPr>
        <w:pStyle w:val="ModelerNormal"/>
        <w:spacing w:afterAutospacing="1"/>
      </w:pPr>
      <w:r>
        <w:t>Antônio Marcos - Biomédico responsável pelo setor de Controle de Qualidade da FHEMERON</w:t>
      </w:r>
      <w:r>
        <w:br/>
      </w:r>
      <w:r>
        <w:br/>
      </w:r>
      <w:r>
        <w:t>Thiago Brasil - Téc. em Laboratório pelo setor de Controle de Qualidade da FHEMERON</w:t>
      </w:r>
      <w:r>
        <w:br/>
      </w:r>
      <w:r>
        <w:t> </w:t>
      </w:r>
    </w:p>
    <w:p>
      <w:pPr>
        <w:pStyle w:val="BoldModelerNormal"/>
      </w:pPr>
      <w:r>
        <w:t>REVISORES</w:t>
      </w:r>
    </w:p>
    <w:p>
      <w:pPr>
        <w:pStyle w:val="ModelerNormal"/>
        <w:spacing w:afterAutospacing="1"/>
      </w:pPr>
      <w:r>
        <w:t>Luma Damon</w:t>
      </w:r>
      <w:r>
        <w:t xml:space="preserve"> </w:t>
      </w:r>
      <w:r>
        <w:t>- Gerente de Processo</w:t>
      </w:r>
      <w:r>
        <w:br/>
      </w:r>
      <w:r>
        <w:t>Antônio Marcos</w:t>
      </w:r>
      <w:r>
        <w:t xml:space="preserve"> - </w:t>
      </w:r>
      <w:r>
        <w:t>Dono do Processo</w:t>
      </w:r>
      <w:r>
        <w:br/>
      </w:r>
      <w:r>
        <w:t>Ádila Pires</w:t>
      </w:r>
      <w:r>
        <w:t xml:space="preserve"> - </w:t>
      </w:r>
      <w:r>
        <w:t>Dona do Produto</w:t>
      </w:r>
    </w:p>
    <w:p>
      <w:pPr>
        <w:pStyle w:val="BoldModelerNormal"/>
      </w:pPr>
      <w:r>
        <w:t>VERSIONAMENTO</w:t>
      </w:r>
    </w:p>
    <w:tbl>
      <w:tblPr>
        <w:tblW w:w="5000" w:type="pct"/>
        <w:tblCellSpacing w:w="0" w:type="dxa"/>
        <w:tblInd w:w="16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648"/>
        <w:gridCol w:w="1064"/>
        <w:gridCol w:w="2187"/>
        <w:gridCol w:w="4892"/>
      </w:tblGrid>
      <w:tr>
        <w:tblPrEx>
          <w:tblW w:w="5000" w:type="pct"/>
          <w:tblCellSpacing w:w="0" w:type="dxa"/>
          <w:tblInd w:w="16" w:type="dxa"/>
          <w:tblBorders>
            <w:top w:val="outset" w:sz="6" w:space="0" w:color="808080"/>
            <w:left w:val="outset" w:sz="6" w:space="0" w:color="808080"/>
            <w:bottom w:val="outset" w:sz="6" w:space="0" w:color="808080"/>
            <w:right w:val="outset" w:sz="6" w:space="0" w:color="80808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Versão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Data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Responsável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Ação</w:t>
            </w:r>
          </w:p>
        </w:tc>
      </w:tr>
      <w:tr>
        <w:tblPrEx>
          <w:tblW w:w="5000" w:type="pct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1.0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08/06/2022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Thaís Roca;</w:t>
            </w:r>
            <w:r>
              <w:br/>
            </w:r>
            <w:r>
              <w:t>Geciele Gonçalves.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Modelagem do Processo de Negócio</w:t>
            </w:r>
          </w:p>
        </w:tc>
      </w:tr>
      <w:tr>
        <w:tblPrEx>
          <w:tblW w:w="5000" w:type="pct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2.0 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13/02/2023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Thaís Roca;</w:t>
            </w:r>
            <w:r>
              <w:br/>
            </w:r>
            <w:r>
              <w:t>Crislany Andrade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Atualização da planilha utilizada pelo setor de Controle de Qualidade. </w:t>
            </w:r>
          </w:p>
        </w:tc>
      </w:tr>
      <w:tr>
        <w:tblPrEx>
          <w:tblW w:w="5000" w:type="pct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2.1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29/05/2023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Thaís Roca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Atualização de padrão textual</w:t>
            </w:r>
          </w:p>
        </w:tc>
      </w:tr>
    </w:tbl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BoldModelerNormal"/>
      </w:pPr>
      <w:r>
        <w:t xml:space="preserve">Versão: </w:t>
      </w:r>
    </w:p>
    <w:p>
      <w:pPr>
        <w:pStyle w:val="ModelerNormal"/>
      </w:pPr>
      <w:r>
        <w:t>1.0</w:t>
      </w:r>
    </w:p>
    <w:p>
      <w:pPr>
        <w:pStyle w:val="BoldModelerNormal"/>
      </w:pPr>
      <w:r>
        <w:t xml:space="preserve">Autor: </w:t>
      </w:r>
    </w:p>
    <w:p>
      <w:pPr>
        <w:pStyle w:val="ModelerNormal"/>
      </w:pPr>
      <w:r>
        <w:t>Governo de Rondônia | Superintendência Estadual de Tecnologia da Informação e Comunicação</w:t>
      </w:r>
    </w:p>
    <w:p>
      <w:pPr>
        <w:pStyle w:val="bizHeading2"/>
      </w:pPr>
      <w:bookmarkStart w:id="6" w:name="Id_634e00d105334e4e9609555b1e803133"/>
      <w:r>
        <w:t xml:space="preserve">  </w:t>
      </w:r>
      <w:bookmarkStart w:id="7" w:name="_Toc256000003"/>
      <w:r>
        <w:t>Subprocesso da Análises da Qualidade do CH e CHF Interior - TO BE</w:t>
      </w:r>
      <w:bookmarkEnd w:id="7"/>
    </w:p>
    <w:p>
      <w:pPr>
        <w:pStyle w:val="bizHeading3"/>
      </w:pPr>
      <w:bookmarkEnd w:id="6"/>
      <w:bookmarkStart w:id="8" w:name="_Toc256000004"/>
      <w:r>
        <w:t>Elementos do processo</w:t>
      </w:r>
      <w:bookmarkEnd w:id="8"/>
    </w:p>
    <w:p>
      <w:pPr>
        <w:pStyle w:val="bizHeading4"/>
      </w:pPr>
      <w:bookmarkStart w:id="9" w:name="_Toc256000005"/>
      <w:r>
        <w:drawing>
          <wp:inline>
            <wp:extent cx="152421" cy="152421"/>
            <wp:docPr id="81806499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74104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1. Realizar procedimentos  na bolsa</w:t>
      </w:r>
      <w:bookmarkEnd w:id="9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Controle de Qualidade</w:t>
      </w:r>
      <w:r>
        <w:br/>
      </w:r>
      <w:r>
        <w:br/>
      </w:r>
      <w:r>
        <w:t>O que:</w:t>
      </w:r>
      <w:r>
        <w:t xml:space="preserve"> </w:t>
      </w:r>
      <w:r>
        <w:t>Realizar procedimentos  na bolsa</w:t>
      </w:r>
      <w:r>
        <w:br/>
      </w:r>
      <w:r>
        <w:br/>
      </w:r>
      <w:r>
        <w:t>Quando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Realizar a pesagem das bolsas de CH e/ou CHF descongeladas que foram transportadas para o Controle de Qualidade;</w:t>
      </w:r>
      <w:r>
        <w:br/>
      </w:r>
      <w:r>
        <w:t>Observações:</w:t>
      </w:r>
      <w:r>
        <w:br/>
      </w:r>
      <w:r>
        <w:t xml:space="preserve">1 - </w:t>
      </w:r>
      <w:r>
        <w:t>O peso é dado em gramas, e o sistema SIHRO realizá o cálculo de conversão para grandeza mililitro (ml) posteriormente, quando o registro do resultado for feito;</w:t>
      </w:r>
      <w:r>
        <w:br/>
      </w:r>
      <w:r>
        <w:t xml:space="preserve">2 - </w:t>
      </w:r>
      <w:r>
        <w:t>A bolsa deve ter um volume aproximado de 220 ml a 320 ml. </w:t>
      </w:r>
      <w:r>
        <w:br/>
      </w:r>
      <w:r>
        <w:t xml:space="preserve">3 - </w:t>
      </w:r>
      <w:r>
        <w:t>Caso o volume da bolsa esteja fora do valor de referência (220 ml a 320 ml), o sistema SIHRO emitirá um alerta (o campo registrado ficará em vermelho);</w:t>
      </w:r>
      <w:r>
        <w:br/>
      </w:r>
      <w:r>
        <w:t>Tarefa 2:</w:t>
      </w:r>
      <w:r>
        <w:t xml:space="preserve"> Aguardar o aumento da temperatura da bolsa;</w:t>
      </w:r>
      <w:r>
        <w:br/>
      </w:r>
      <w:r>
        <w:t>Observações:</w:t>
      </w:r>
      <w:r>
        <w:br/>
      </w:r>
      <w:r>
        <w:t xml:space="preserve">1 - </w:t>
      </w:r>
      <w:r>
        <w:t>A bolsa irá descansar de 20 a 30 minutos para alcançar a temperatura ambiente.</w:t>
      </w:r>
      <w:r>
        <w:br/>
      </w:r>
      <w:r>
        <w:t>Tarefa 3:</w:t>
      </w:r>
      <w:r>
        <w:t xml:space="preserve"> Utilizar alicate para “espaguetar” o segmento da bolsa de CH e/ou CHF, a fim de  homogeneizar o componente sanguíneo e obter uma amostra mais autêntica desta bolsa; </w:t>
      </w:r>
      <w:r>
        <w:br/>
      </w:r>
      <w:r>
        <w:t>Observação:</w:t>
      </w:r>
      <w:r>
        <w:br/>
      </w:r>
      <w:r>
        <w:t>1 -</w:t>
      </w:r>
      <w:r>
        <w:t xml:space="preserve"> Esse processo é realizado de 3 a 5 vezes a fim de  homogeneizar o componente sanguíneo e obter uma amostra mais autêntica desta bolsa.</w:t>
      </w:r>
    </w:p>
    <w:p>
      <w:pPr>
        <w:pStyle w:val="ModelerNormal"/>
        <w:spacing w:afterAutospacing="1"/>
      </w:pPr>
      <w:r>
        <w:t xml:space="preserve">Tarefa 4: </w:t>
      </w:r>
      <w:r>
        <w:t>Anotar em papel avulso o peso da bolsa para posterior registro no sistema SIHRO.</w:t>
      </w:r>
    </w:p>
    <w:p>
      <w:pPr>
        <w:pStyle w:val="ModelerNormal"/>
        <w:spacing w:afterAutospacing="1"/>
      </w:pPr>
      <w:r>
        <w:t>Observação:</w:t>
      </w:r>
    </w:p>
    <w:p>
      <w:pPr>
        <w:pStyle w:val="ModelerNormal"/>
        <w:spacing w:afterAutospacing="1"/>
      </w:pPr>
      <w:r>
        <w:t xml:space="preserve">1 - </w:t>
      </w:r>
      <w:r>
        <w:t>O registro no sistema será feito após a realização das análises.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realizar os procedimentos de pesagem da bolsa para comparar com o peso já registrado na etiqueta da mesma e aguardar o aumento da temperatura para análise e espaguetamento do segmento para homogeneização dos componentes sanguíneos. </w:t>
      </w:r>
      <w:r>
        <w:t xml:space="preserve"> </w:t>
      </w:r>
      <w:r>
        <w:t> </w:t>
      </w:r>
      <w:r>
        <w:t xml:space="preserve"> </w:t>
      </w: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                                      RESOLUÇÃO - RDC N° 34, DE 11 DE JUNHO DE 2014 </w:t>
      </w:r>
    </w:p>
    <w:p>
      <w:pPr>
        <w:pStyle w:val="ModelerNormal"/>
        <w:spacing w:afterAutospacing="1"/>
      </w:pPr>
      <w:r>
        <w:t>                                        </w:t>
      </w:r>
      <w:r>
        <w:t>                              Dispõe sobre as Boas Práticas no Ciclo do Sangue.</w:t>
      </w:r>
    </w:p>
    <w:p>
      <w:pPr>
        <w:pStyle w:val="ModelerNormal"/>
        <w:spacing w:afterAutospacing="1"/>
      </w:pPr>
      <w:r>
        <w:t xml:space="preserve">MÓDULO IV </w:t>
      </w:r>
    </w:p>
    <w:p>
      <w:pPr>
        <w:pStyle w:val="ModelerNormal"/>
        <w:spacing w:afterAutospacing="1"/>
      </w:pPr>
      <w:r>
        <w:t xml:space="preserve">PROCESSAMENTO, ROTULAGEM, ARMAZENAMENTO E DISTRIBUIÇÃO </w:t>
      </w:r>
    </w:p>
    <w:p>
      <w:pPr>
        <w:pStyle w:val="ModelerNormal"/>
        <w:spacing w:afterAutospacing="1"/>
      </w:pPr>
      <w:r>
        <w:drawing>
          <wp:inline>
            <wp:extent cx="5105400" cy="704850"/>
            <wp:docPr id="10001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742669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 </w:t>
      </w:r>
    </w:p>
    <w:p>
      <w:pPr>
        <w:pStyle w:val="bizHeading4"/>
      </w:pPr>
      <w:bookmarkStart w:id="10" w:name="_Toc256000006"/>
      <w:r>
        <w:drawing>
          <wp:inline>
            <wp:extent cx="152421" cy="152421"/>
            <wp:docPr id="104643392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266009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2. Realizar inspeção visual</w:t>
      </w:r>
      <w:bookmarkEnd w:id="10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Controle de Qualidade</w:t>
      </w:r>
      <w:r>
        <w:br/>
      </w:r>
      <w:r>
        <w:br/>
      </w:r>
      <w:r>
        <w:t>O que: </w:t>
      </w:r>
      <w:r>
        <w:t>Realizar inspeção visual</w:t>
      </w:r>
      <w:r>
        <w:br/>
      </w:r>
      <w:r>
        <w:br/>
      </w:r>
      <w:r>
        <w:t>Quando:</w:t>
      </w:r>
      <w:r>
        <w:br/>
      </w:r>
      <w:r>
        <w:br/>
      </w:r>
      <w:r>
        <w:t>Como: </w:t>
      </w:r>
      <w:r>
        <w:br/>
      </w:r>
      <w:r>
        <w:t>Tarefa 1</w:t>
      </w:r>
      <w:r>
        <w:t>: Realizar inspeção visual para verificar se a bolsa de CH e/ou CHF apresenta:</w:t>
      </w:r>
      <w:r>
        <w:br/>
      </w:r>
      <w:r>
        <w:t>· Presença de grumos</w:t>
      </w:r>
      <w:r>
        <w:br/>
      </w:r>
      <w:r>
        <w:t>· Presença de vazamento</w:t>
      </w:r>
      <w:r>
        <w:br/>
      </w:r>
      <w:r>
        <w:t>· Alteração de cor</w:t>
      </w:r>
      <w:r>
        <w:br/>
      </w:r>
      <w:r>
        <w:t>· Lipemia</w:t>
      </w:r>
    </w:p>
    <w:p>
      <w:pPr>
        <w:pStyle w:val="ModelerNormal"/>
        <w:spacing w:afterAutospacing="1"/>
      </w:pPr>
      <w:r>
        <w:t>Observações:</w:t>
      </w:r>
      <w:r>
        <w:br/>
      </w:r>
      <w:r>
        <w:t xml:space="preserve">1 - </w:t>
      </w:r>
      <w:r>
        <w:t>Caso apresente coágulos e/ou vazamento, a bolsa será descartada imediatamente e o técnico registrará o expurgo no sistema SIHRO; </w:t>
      </w:r>
      <w:r>
        <w:t> </w:t>
      </w:r>
      <w:r>
        <w:br/>
      </w:r>
      <w:r>
        <w:t xml:space="preserve">2 - </w:t>
      </w:r>
      <w:r>
        <w:t>No caso de apresentar lipemia e/ou alteração de cor a bolsa será examinada normalmente;</w:t>
      </w:r>
    </w:p>
    <w:p>
      <w:pPr>
        <w:pStyle w:val="ModelerNormal"/>
        <w:spacing w:afterAutospacing="1"/>
      </w:pPr>
      <w:r>
        <w:t>Por que essa atividade acontece?</w:t>
      </w:r>
      <w:r>
        <w:br/>
      </w:r>
      <w:r>
        <w:t>Essa atividade acontece porque é necessário verificar se a bolsa apresenta alguma das alterações citada acima.</w:t>
      </w:r>
    </w:p>
    <w:p>
      <w:pPr>
        <w:pStyle w:val="bizHeading4"/>
      </w:pPr>
      <w:bookmarkStart w:id="11" w:name="_Toc256000007"/>
      <w:r>
        <w:drawing>
          <wp:inline>
            <wp:extent cx="152421" cy="152421"/>
            <wp:docPr id="113844051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015265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3. Retirar amostra</w:t>
      </w:r>
      <w:bookmarkEnd w:id="11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Controle de Qualidade</w:t>
      </w:r>
      <w:r>
        <w:br/>
      </w:r>
      <w:r>
        <w:br/>
      </w:r>
      <w:r>
        <w:t xml:space="preserve">O que: </w:t>
      </w:r>
      <w:r>
        <w:t>Retirar amostra da bolsa 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Retirar a amostra do segmento da bolsa de CH e/ou CHF;</w:t>
      </w:r>
      <w:r>
        <w:br/>
      </w:r>
      <w:r>
        <w:t>Observação:</w:t>
      </w:r>
      <w:r>
        <w:br/>
      </w:r>
      <w:r>
        <w:t xml:space="preserve">1 - </w:t>
      </w:r>
      <w:r>
        <w:t>É retirado o segmento com amostra para realizar exame de hemograma, e a bolsa de CH e/ou CHF é armazenada na câmara fria até que o resultado do exame esteja disponível.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retirar amostra da bolsa para realizar exames com a finalidade de verificar a qualidade das bolsas de CH e/ou CHF colhidas durante aquele mês.</w:t>
      </w:r>
      <w:r>
        <w:t> </w:t>
      </w:r>
    </w:p>
    <w:p>
      <w:pPr>
        <w:pStyle w:val="bizHeading4"/>
      </w:pPr>
      <w:bookmarkStart w:id="12" w:name="_Toc256000008"/>
      <w:r>
        <w:drawing>
          <wp:inline>
            <wp:extent cx="152421" cy="152421"/>
            <wp:docPr id="113666290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449031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4. Homogeneizar amostra</w:t>
      </w:r>
      <w:bookmarkEnd w:id="12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</w:t>
      </w:r>
      <w:r>
        <w:t xml:space="preserve"> Homogeneizador de amostra</w:t>
      </w:r>
      <w:r>
        <w:br/>
      </w:r>
      <w:r>
        <w:br/>
      </w:r>
      <w:r>
        <w:t>O que:</w:t>
      </w:r>
      <w:r>
        <w:t xml:space="preserve"> Homogeneizar amostra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>Tarefa 1:</w:t>
      </w:r>
      <w:r>
        <w:t xml:space="preserve"> Transferir a amostra do segmento para o tubo de hemólise;</w:t>
      </w:r>
      <w:r>
        <w:br/>
      </w:r>
      <w:r>
        <w:t>Tarefa 2:</w:t>
      </w:r>
      <w:r>
        <w:t xml:space="preserve"> Identificar o tubo com amostra;</w:t>
      </w:r>
      <w:r>
        <w:br/>
      </w:r>
      <w:r>
        <w:t>Tarefa 3</w:t>
      </w:r>
      <w:r>
        <w:t>: Dispor a amostra no equipamento homogeneizador de amostra;</w:t>
      </w:r>
      <w:r>
        <w:br/>
      </w:r>
      <w:r>
        <w:t>Tarefa 4:</w:t>
      </w:r>
      <w:r>
        <w:t xml:space="preserve"> Ligar o equipamento para dar início a homogeneização;</w:t>
      </w:r>
      <w:r>
        <w:br/>
      </w:r>
      <w:r>
        <w:t>Tarefa 5</w:t>
      </w:r>
      <w:r>
        <w:t>: Aguardar 10 minutos;</w:t>
      </w:r>
      <w:r>
        <w:br/>
      </w:r>
      <w:r>
        <w:t>Tarefa 6</w:t>
      </w:r>
      <w:r>
        <w:t>: Apertar ok no equipamento e retirar amostra homogeneizada.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que os componentes sanguíneos sejam distribuídos uniformementes na amostra do tubo de hemólise para posterior realização do exame hemograma.</w:t>
      </w:r>
    </w:p>
    <w:p>
      <w:pPr>
        <w:pStyle w:val="BoldModelerNormal"/>
      </w:pPr>
      <w:r>
        <w:t>Implementação</w:t>
      </w:r>
    </w:p>
    <w:p>
      <w:pPr>
        <w:pStyle w:val="ModelerNormal"/>
      </w:pPr>
      <w:r>
        <w:t>Serviço Web</w:t>
      </w:r>
    </w:p>
    <w:p>
      <w:pPr>
        <w:pStyle w:val="bizHeading4"/>
      </w:pPr>
      <w:bookmarkStart w:id="13" w:name="_Toc256000009"/>
      <w:r>
        <w:drawing>
          <wp:inline>
            <wp:extent cx="152421" cy="152421"/>
            <wp:docPr id="136291625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370214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5. Realizar hemograma</w:t>
      </w:r>
      <w:bookmarkEnd w:id="13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Analisador hematológico - SDH20</w:t>
      </w:r>
      <w:r>
        <w:br/>
      </w:r>
      <w:r>
        <w:br/>
      </w:r>
      <w:r>
        <w:t xml:space="preserve">O que: </w:t>
      </w:r>
      <w:r>
        <w:t>Realizar hemograma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>Tarefa 1:</w:t>
      </w:r>
      <w:r>
        <w:t xml:space="preserve"> </w:t>
      </w:r>
      <w:r>
        <w:t>Dispor a amostra de CH e/ou CHF homogeneizada no a</w:t>
      </w:r>
      <w:r>
        <w:t>nalisador hematológico - SDH20</w:t>
      </w:r>
      <w:r>
        <w:t>;</w:t>
      </w:r>
      <w:r>
        <w:br/>
      </w:r>
      <w:r>
        <w:t xml:space="preserve">Tarefa 2: </w:t>
      </w:r>
      <w:r>
        <w:t>Aguardar o equipamento aspirar a amostra;</w:t>
      </w:r>
      <w:r>
        <w:br/>
      </w:r>
      <w:r>
        <w:t>Tarefa 3:</w:t>
      </w:r>
      <w:r>
        <w:t xml:space="preserve"> Ligar o equipamento para dar início a análise;</w:t>
      </w:r>
      <w:r>
        <w:br/>
      </w:r>
      <w:r>
        <w:t>Tarefa 4:</w:t>
      </w:r>
      <w:r>
        <w:t xml:space="preserve"> Aguardar o resultado do hemograma (hematócrito, grau de hemólise e hemoglobinas totais);</w:t>
      </w:r>
      <w:r>
        <w:br/>
      </w:r>
      <w:r>
        <w:t xml:space="preserve">Tarefa 5: </w:t>
      </w:r>
      <w:r>
        <w:t>Imprimir o resultado.</w:t>
      </w:r>
      <w:r>
        <w:br/>
      </w:r>
      <w:r>
        <w:br/>
      </w:r>
      <w:r>
        <w:t>Por que essa atividade acontece? </w:t>
      </w:r>
      <w:r>
        <w:br/>
      </w:r>
      <w:r>
        <w:t>Essa atividade acontece porque é necessário avaliar se os valores da hemoglobina total, grau de hemólise e o hematócrito estão dentro dos padrões de qualidade aceitáveis. </w:t>
      </w:r>
      <w:r>
        <w:t> </w:t>
      </w:r>
    </w:p>
    <w:p>
      <w:pPr>
        <w:pStyle w:val="ModelerNormal"/>
        <w:spacing w:afterAutospacing="1"/>
      </w:pPr>
      <w:r>
        <w:t>PORTARIA Nº 158, DE 4 DE FEVEREIRO DE 2016</w:t>
      </w:r>
      <w:r>
        <w:t xml:space="preserve"> </w:t>
      </w:r>
    </w:p>
    <w:p>
      <w:pPr>
        <w:pStyle w:val="ModelerNormal"/>
        <w:spacing w:afterAutospacing="1"/>
      </w:pPr>
      <w:r>
        <w:t>Redefine o regulamento técnico de procedimentos hemoterápicos.</w:t>
      </w:r>
    </w:p>
    <w:p>
      <w:pPr>
        <w:pStyle w:val="ModelerNormal"/>
        <w:spacing w:afterAutospacing="1"/>
      </w:pPr>
      <w:r>
        <w:t> </w:t>
      </w:r>
      <w:r>
        <w:t>ANEXO VI</w:t>
      </w:r>
    </w:p>
    <w:p>
      <w:pPr>
        <w:pStyle w:val="ModelerNormal"/>
        <w:spacing w:afterAutospacing="1"/>
      </w:pPr>
      <w:r>
        <w:t>ESPECIFICAÇÕES DOS COMPONENTES SANGUÍNEOS - CONTROLE DE QUALIDADE</w:t>
      </w:r>
      <w:r>
        <w:br/>
      </w:r>
      <w:r>
        <w:drawing>
          <wp:inline>
            <wp:extent cx="6734175" cy="2085975"/>
            <wp:docPr id="10001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124893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734175" cy="2085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ModelerNormal"/>
        <w:spacing w:afterAutospacing="1"/>
      </w:pPr>
      <w:r>
        <w:drawing>
          <wp:inline>
            <wp:extent cx="6772275" cy="1609725"/>
            <wp:docPr id="10001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491358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772275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ModelerNormal"/>
        <w:spacing w:afterAutospacing="1"/>
      </w:pPr>
      <w:r>
        <w:t> </w:t>
      </w:r>
    </w:p>
    <w:p>
      <w:pPr>
        <w:pStyle w:val="BoldModelerNormal"/>
      </w:pPr>
      <w:r>
        <w:t>Implementação</w:t>
      </w:r>
    </w:p>
    <w:p>
      <w:pPr>
        <w:pStyle w:val="ModelerNormal"/>
      </w:pPr>
      <w:r>
        <w:t>Serviço Web</w:t>
      </w:r>
    </w:p>
    <w:p>
      <w:pPr>
        <w:pStyle w:val="bizHeading4"/>
      </w:pPr>
      <w:bookmarkStart w:id="14" w:name="_Toc256000010"/>
      <w:r>
        <w:drawing>
          <wp:inline>
            <wp:extent cx="152421" cy="152421"/>
            <wp:docPr id="484861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395594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6. Realizar contagem no microscópio</w:t>
      </w:r>
      <w:bookmarkEnd w:id="14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N</w:t>
      </w:r>
      <w:r>
        <w:t>o microscópio</w:t>
      </w:r>
      <w:r>
        <w:t xml:space="preserve"> </w:t>
      </w:r>
      <w:r>
        <w:br/>
      </w:r>
      <w:r>
        <w:br/>
      </w:r>
      <w:r>
        <w:t xml:space="preserve">O que: </w:t>
      </w:r>
      <w:r>
        <w:t>Realizar contagem no microscópio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br/>
      </w:r>
      <w:r>
        <w:t xml:space="preserve">Tarefa 1: </w:t>
      </w:r>
      <w:r>
        <w:t>Diluir a amostra de CHF na proporção 1:10 ou 1:20 em solução de Turk;</w:t>
      </w:r>
      <w:r>
        <w:br/>
      </w:r>
      <w:r>
        <w:t xml:space="preserve">Tarefa 2: </w:t>
      </w:r>
      <w:r>
        <w:t>Homogeneizar e deixar o tubo em repouso por pelo menos 10 minutos;</w:t>
      </w:r>
      <w:r>
        <w:br/>
      </w:r>
      <w:r>
        <w:t xml:space="preserve">Tarefa 3: </w:t>
      </w:r>
      <w:r>
        <w:t>Homogeneizar novamente a amostra e preencher completamente as câmaras identificadas, tendo o cuidado para não transbordar;  </w:t>
      </w:r>
      <w:r>
        <w:br/>
      </w:r>
      <w:r>
        <w:t>Tarefa 4:</w:t>
      </w:r>
      <w:r>
        <w:t xml:space="preserve"> Manter as câmaras de contagem em câmara úmida; </w:t>
      </w:r>
      <w:r>
        <w:br/>
      </w:r>
      <w:r>
        <w:t>Tarefa 5:</w:t>
      </w:r>
      <w:r>
        <w:t xml:space="preserve"> Aguardar 10 a 15 minutos para completa sedimentação das células; </w:t>
      </w:r>
      <w:r>
        <w:br/>
      </w:r>
      <w:r>
        <w:t xml:space="preserve">Tarefa 6: </w:t>
      </w:r>
      <w:r>
        <w:t>Iniciar a contagem das células em microscópio nos campos específicos identificados;</w:t>
      </w:r>
      <w:r>
        <w:br/>
      </w:r>
      <w:r>
        <w:t>Observação:</w:t>
      </w:r>
      <w:r>
        <w:br/>
      </w:r>
      <w:r>
        <w:t xml:space="preserve">1 - </w:t>
      </w:r>
      <w:r>
        <w:t>Caso o número de leucócitos contados na câmara de Neubauer for inferior a 4 (quatro), realizar a contagem em câmara de Nageotte, podendo ser utilizada a mesma diluição.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que a contagem feita pelo equipamento SDH20 seja conferida, a fim de minimizar erros na contagem de leucócitos. </w:t>
      </w:r>
      <w:r>
        <w:br/>
      </w:r>
    </w:p>
    <w:p>
      <w:pPr>
        <w:pStyle w:val="ModelerNormal"/>
        <w:spacing w:afterAutospacing="1"/>
      </w:pPr>
      <w:r>
        <w:t>PORTARIA Nº 158, DE 4 DE FEVEREIRO DE 2016</w:t>
      </w:r>
      <w:r>
        <w:t xml:space="preserve"> </w:t>
      </w:r>
    </w:p>
    <w:p>
      <w:pPr>
        <w:pStyle w:val="ModelerNormal"/>
        <w:spacing w:afterAutospacing="1"/>
      </w:pPr>
      <w:r>
        <w:t>Redefine o regulamento técnico de procedimentos hemoterápicos.</w:t>
      </w:r>
    </w:p>
    <w:p>
      <w:pPr>
        <w:pStyle w:val="ModelerNormal"/>
        <w:spacing w:afterAutospacing="1"/>
      </w:pPr>
      <w:r>
        <w:t> </w:t>
      </w:r>
      <w:r>
        <w:t>ANEXO VI</w:t>
      </w:r>
    </w:p>
    <w:p>
      <w:pPr>
        <w:pStyle w:val="ModelerNormal"/>
        <w:spacing w:afterAutospacing="1"/>
      </w:pPr>
      <w:r>
        <w:t>ESPECIFICAÇÕES DOS COMPONENTES SANGUÍNEOS - CONTROLE DE QUALIDADE</w:t>
      </w:r>
      <w:r>
        <w:br/>
      </w:r>
      <w:r>
        <w:drawing>
          <wp:inline>
            <wp:extent cx="6781800" cy="1609725"/>
            <wp:docPr id="10001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499119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781800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bizHeading4"/>
      </w:pPr>
      <w:bookmarkStart w:id="15" w:name="_Toc256000011"/>
      <w:r>
        <w:drawing>
          <wp:inline>
            <wp:extent cx="152421" cy="152421"/>
            <wp:docPr id="175075739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438325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7. Centrifugar amostra</w:t>
      </w:r>
      <w:bookmarkEnd w:id="15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Na centrífuga de amostra</w:t>
      </w:r>
      <w:r>
        <w:br/>
      </w:r>
      <w:r>
        <w:br/>
      </w:r>
      <w:r>
        <w:t>O que: </w:t>
      </w:r>
      <w:r>
        <w:t>Centrifugar amostra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Dispor o tubo no equipamento de centrifugação de amostras;</w:t>
      </w:r>
      <w:r>
        <w:br/>
      </w:r>
      <w:r>
        <w:t>Tarefa 2: </w:t>
      </w:r>
      <w:r>
        <w:t>Configurar a centrífuga para iniciar centrifugação;</w:t>
      </w:r>
      <w:r>
        <w:br/>
      </w:r>
      <w:r>
        <w:t>Tarefa 3:</w:t>
      </w:r>
      <w:r>
        <w:t xml:space="preserve"> Aguardar aproximadamente 10 minutos para a finalização do procedimento;</w:t>
      </w:r>
      <w:r>
        <w:br/>
      </w:r>
      <w:r>
        <w:t xml:space="preserve">Tarefa 4: </w:t>
      </w:r>
      <w:r>
        <w:t>Retirar a amostra do equipamento.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realizar a separação dos compostos sanguíneos por meio da sedimentação, considerando suas diferentes</w:t>
      </w:r>
      <w:r>
        <w:t xml:space="preserve"> densidades. </w:t>
      </w:r>
      <w:r>
        <w:br/>
      </w:r>
      <w:r>
        <w:t> </w:t>
      </w:r>
    </w:p>
    <w:p>
      <w:pPr>
        <w:pStyle w:val="ModelerNormal"/>
        <w:spacing w:afterAutospacing="1"/>
      </w:pPr>
      <w:r>
        <w:t>Embasamento</w:t>
      </w:r>
    </w:p>
    <w:p>
      <w:pPr>
        <w:pStyle w:val="ModelerNormal"/>
        <w:spacing w:afterAutospacing="1"/>
      </w:pPr>
      <w:r>
        <w:t> </w:t>
      </w:r>
      <w:r>
        <w:t xml:space="preserve">Manual-de-Coleta-LACEN-2014-1 </w:t>
      </w:r>
    </w:p>
    <w:p>
      <w:pPr>
        <w:pStyle w:val="ModelerNormal"/>
        <w:spacing w:afterAutospacing="1"/>
      </w:pPr>
      <w:r>
        <w:t>"O sangue total deve ser coletado em tubo sem anticoagulante, ser centrifugado, ou, se o local não dispõe de centrífuga, deixar retrair o coágulo. Alíquota o soro formado, rotular o tubo e enviar".</w:t>
      </w:r>
    </w:p>
    <w:p>
      <w:pPr>
        <w:pStyle w:val="ModelerNormal"/>
        <w:spacing w:afterAutospacing="1"/>
      </w:pPr>
      <w:r>
        <w:t>"NOTA: Realizar o procedimento de centrifugação por 5 a 10 minutos a 1.500 rpm, obedecendo as recomendações do fabricante da centrífuga, como também procedimentos de Biossegurança"</w:t>
      </w:r>
    </w:p>
    <w:p>
      <w:pPr>
        <w:pStyle w:val="ModelerNormal"/>
        <w:spacing w:afterAutospacing="1"/>
      </w:pPr>
      <w:r>
        <w:t> </w:t>
      </w:r>
    </w:p>
    <w:p>
      <w:pPr>
        <w:pStyle w:val="BoldModelerNormal"/>
      </w:pPr>
      <w:r>
        <w:t>Implementação</w:t>
      </w:r>
    </w:p>
    <w:p>
      <w:pPr>
        <w:pStyle w:val="ModelerNormal"/>
      </w:pPr>
      <w:r>
        <w:t>Serviço Web</w:t>
      </w:r>
    </w:p>
    <w:p>
      <w:pPr>
        <w:pStyle w:val="bizHeading4"/>
      </w:pPr>
      <w:bookmarkStart w:id="16" w:name="_Toc256000012"/>
      <w:r>
        <w:drawing>
          <wp:inline>
            <wp:extent cx="152421" cy="152421"/>
            <wp:docPr id="90952384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118816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8. Realizar leitura no Bioplus</w:t>
      </w:r>
      <w:bookmarkEnd w:id="16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</w:t>
      </w:r>
      <w:r>
        <w:t xml:space="preserve"> Bioplus</w:t>
      </w:r>
      <w:r>
        <w:br/>
      </w:r>
      <w:r>
        <w:br/>
      </w:r>
      <w:r>
        <w:t>O que:</w:t>
      </w:r>
      <w:r>
        <w:t> Realizar leitura no Bioplus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>Tarefa 1:</w:t>
      </w:r>
      <w:r>
        <w:t xml:space="preserve"> Pipetar alguns ml do reagente específico para hemoglobina livres;</w:t>
      </w:r>
      <w:r>
        <w:br/>
      </w:r>
      <w:r>
        <w:t xml:space="preserve">Observação: </w:t>
      </w:r>
    </w:p>
    <w:p>
      <w:pPr>
        <w:pStyle w:val="ModelerNormal"/>
        <w:spacing w:afterAutospacing="1"/>
      </w:pPr>
      <w:r>
        <w:t xml:space="preserve">1 - </w:t>
      </w:r>
      <w:r>
        <w:t>A quantidade de reagente varia de acordo com o fabricante.</w:t>
      </w:r>
      <w:r>
        <w:br/>
      </w:r>
      <w:r>
        <w:t>Tarefa 2:</w:t>
      </w:r>
      <w:r>
        <w:t xml:space="preserve"> Adicionar o reagente específico para hemoglobina livres na amostra centrifugada;</w:t>
      </w:r>
      <w:r>
        <w:br/>
      </w:r>
      <w:r>
        <w:t>Tarefa 3:</w:t>
      </w:r>
      <w:r>
        <w:t xml:space="preserve"> Homogeneizar manualmente a amostra, balançando algumas vezes;</w:t>
      </w:r>
      <w:r>
        <w:br/>
      </w:r>
      <w:r>
        <w:t xml:space="preserve">Tarefa 4: </w:t>
      </w:r>
      <w:r>
        <w:t>Incubar em temperatura ambiente por 5 minutos;</w:t>
      </w:r>
      <w:r>
        <w:br/>
      </w:r>
      <w:r>
        <w:t>Tarefa 5:</w:t>
      </w:r>
      <w:r>
        <w:t xml:space="preserve"> Configurar a máquina de Bioplus para realizar leitura;</w:t>
      </w:r>
      <w:r>
        <w:br/>
      </w:r>
      <w:r>
        <w:t>Tarefa 6:</w:t>
      </w:r>
      <w:r>
        <w:t xml:space="preserve"> Aguardar o Bioplus pipetar a amostra para obter resultado de hemoglobina livres;</w:t>
      </w:r>
      <w:r>
        <w:br/>
      </w:r>
      <w:r>
        <w:t>Tarefa 7:</w:t>
      </w:r>
      <w:r>
        <w:t xml:space="preserve"> Verificar o resultado na tela do equipamento de Bioplus; </w:t>
      </w:r>
    </w:p>
    <w:p>
      <w:pPr>
        <w:pStyle w:val="ModelerNormal"/>
        <w:spacing w:afterAutospacing="1"/>
      </w:pPr>
      <w:r>
        <w:t>Observações:</w:t>
      </w:r>
      <w:r>
        <w:br/>
      </w:r>
      <w:r>
        <w:t xml:space="preserve">1 - </w:t>
      </w:r>
      <w:r>
        <w:t> </w:t>
      </w:r>
      <w:r>
        <w:t>Após o exame, o resultado será anotado em um papel</w:t>
      </w:r>
      <w:r>
        <w:t xml:space="preserve"> pois o Bioplus não realiza a impressão por falta de papel;</w:t>
      </w:r>
      <w:r>
        <w:br/>
      </w:r>
      <w:r>
        <w:t xml:space="preserve">2 - </w:t>
      </w:r>
      <w:r>
        <w:t>Caso o resultado de hemoglobina livres esteja alterado, a bolsa será expurgada.</w:t>
      </w:r>
      <w:r>
        <w:br/>
      </w:r>
      <w:r>
        <w:t xml:space="preserve">Tarefa 8: </w:t>
      </w:r>
      <w:r>
        <w:t>Anotar em papel avulso para registrar os resultados no sistema SIHRO posteriormente.</w:t>
      </w:r>
      <w:r>
        <w:br/>
      </w:r>
      <w:r>
        <w:br/>
      </w:r>
      <w:r>
        <w:t>Por que essa atividade acontece? </w:t>
      </w:r>
      <w:r>
        <w:br/>
      </w:r>
      <w:r>
        <w:t>Essa atividade acontece pois é necessário que seja realizado exame para obter a quantidade de hemoglobina livres. </w:t>
      </w:r>
    </w:p>
    <w:p>
      <w:pPr>
        <w:pStyle w:val="ModelerNormal"/>
        <w:spacing w:afterAutospacing="1"/>
      </w:pPr>
      <w:r>
        <w:br/>
      </w:r>
      <w:r>
        <w:t>PORTARIA Nº 158, DE 4 DE FEVEREIRO DE 2016</w:t>
      </w:r>
      <w:r>
        <w:t xml:space="preserve"> </w:t>
      </w:r>
    </w:p>
    <w:p>
      <w:pPr>
        <w:pStyle w:val="ModelerNormal"/>
        <w:spacing w:afterAutospacing="1"/>
      </w:pPr>
      <w:r>
        <w:t>Redefine o regulamento técnico de procedimentos hemoterápicos.</w:t>
      </w:r>
    </w:p>
    <w:p>
      <w:pPr>
        <w:pStyle w:val="ModelerNormal"/>
        <w:spacing w:afterAutospacing="1"/>
      </w:pPr>
      <w:r>
        <w:t> </w:t>
      </w:r>
      <w:r>
        <w:t>ANEXO VI</w:t>
      </w:r>
    </w:p>
    <w:p>
      <w:pPr>
        <w:pStyle w:val="ModelerNormal"/>
        <w:spacing w:afterAutospacing="1"/>
      </w:pPr>
      <w:r>
        <w:t>ESPECIFICAÇÕES DOS COMPONENTES SANGUÍNEOS - CONTROLE DE QUALIDADE</w:t>
      </w:r>
      <w:r>
        <w:br/>
      </w:r>
      <w:r>
        <w:drawing>
          <wp:inline>
            <wp:extent cx="6743700" cy="2085975"/>
            <wp:docPr id="10002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911057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743700" cy="2085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ModelerNormal"/>
        <w:spacing w:afterAutospacing="1"/>
      </w:pPr>
      <w:r>
        <w:drawing>
          <wp:inline>
            <wp:extent cx="6781800" cy="1609725"/>
            <wp:docPr id="10002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514736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781800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BoldModelerNormal"/>
      </w:pPr>
      <w:r>
        <w:t>Implementação</w:t>
      </w:r>
    </w:p>
    <w:p>
      <w:pPr>
        <w:pStyle w:val="ModelerNormal"/>
      </w:pPr>
      <w:r>
        <w:t>Serviço Web</w:t>
      </w:r>
    </w:p>
    <w:p>
      <w:pPr>
        <w:pStyle w:val="bizHeading4"/>
      </w:pPr>
      <w:bookmarkStart w:id="17" w:name="_Toc256000013"/>
      <w:r>
        <w:drawing>
          <wp:inline>
            <wp:extent cx="152421" cy="152421"/>
            <wp:docPr id="159909672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774015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4. Armazenar bolsa</w:t>
      </w:r>
      <w:bookmarkEnd w:id="17"/>
      <w:r>
        <w:t> </w:t>
      </w:r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 </w:t>
      </w:r>
      <w:r>
        <w:t>Câmara fria</w:t>
      </w:r>
      <w:r>
        <w:br/>
      </w:r>
      <w:r>
        <w:br/>
      </w:r>
      <w:r>
        <w:t>O que: </w:t>
      </w:r>
      <w:r>
        <w:t>Armazenar bolsa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Dispor bolsa na câmara fria;</w:t>
      </w:r>
      <w:r>
        <w:br/>
      </w:r>
      <w:r>
        <w:t>Observação:</w:t>
      </w:r>
      <w:r>
        <w:br/>
      </w:r>
      <w:r>
        <w:t xml:space="preserve">1- </w:t>
      </w:r>
      <w:r>
        <w:t> </w:t>
      </w:r>
      <w:r>
        <w:t>A bolsa deverá ficar armazenada em uma temperatura que varia de 2 ºC a 6 ºC graus.</w:t>
      </w:r>
      <w:r>
        <w:br/>
      </w:r>
      <w:r>
        <w:br/>
      </w:r>
      <w:r>
        <w:t>Por que essa atividade acontece?</w:t>
      </w:r>
    </w:p>
    <w:p>
      <w:pPr>
        <w:pStyle w:val="ModelerNormal"/>
        <w:spacing w:afterAutospacing="1"/>
      </w:pPr>
      <w:r>
        <w:t>Essa atividade acontece porque é necessário que a bolsa seja armazenada em temperatura adequadas para sua conservação enquanto testes são realizados.</w:t>
      </w:r>
      <w:r>
        <w:t> </w:t>
      </w:r>
    </w:p>
    <w:p>
      <w:pPr>
        <w:pStyle w:val="ModelerNormal"/>
        <w:spacing w:afterAutospacing="1"/>
      </w:pPr>
      <w:r>
        <w:t>                                                            </w:t>
      </w:r>
      <w:r>
        <w:t>RESOLUÇÃO - RDC N° 34, DE 11 DE JUNHO DE 2014 </w:t>
      </w:r>
    </w:p>
    <w:p>
      <w:pPr>
        <w:pStyle w:val="ModelerNormal"/>
        <w:spacing w:afterAutospacing="1"/>
      </w:pPr>
      <w:r>
        <w:t>                                        </w:t>
      </w:r>
      <w:r>
        <w:t>                                    Dispõe sobre as Boas Práticas no Ciclo do Sangue.</w:t>
      </w:r>
    </w:p>
    <w:p>
      <w:pPr>
        <w:pStyle w:val="ModelerNormal"/>
        <w:spacing w:afterAutospacing="1"/>
      </w:pPr>
      <w:r>
        <w:t xml:space="preserve">MÓDULO IV </w:t>
      </w:r>
    </w:p>
    <w:p>
      <w:pPr>
        <w:pStyle w:val="ModelerNormal"/>
        <w:spacing w:afterAutospacing="1"/>
      </w:pPr>
      <w:r>
        <w:t xml:space="preserve">PROCESSAMENTO, ROTULAGEM, ARMAZENAMENTO E DISTRIBUIÇÃO </w:t>
      </w:r>
    </w:p>
    <w:p>
      <w:pPr>
        <w:pStyle w:val="ModelerNormal"/>
        <w:spacing w:afterAutospacing="1"/>
      </w:pPr>
      <w:r>
        <w:drawing>
          <wp:inline>
            <wp:extent cx="5105400" cy="704850"/>
            <wp:docPr id="10002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294301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bizHeading4"/>
      </w:pPr>
      <w:bookmarkStart w:id="18" w:name="_Toc256000014"/>
      <w:r>
        <w:drawing>
          <wp:inline>
            <wp:extent cx="152421" cy="152421"/>
            <wp:docPr id="188008171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250642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Resultados disponíveis</w:t>
      </w:r>
      <w:bookmarkEnd w:id="18"/>
      <w:r>
        <w:t> </w:t>
      </w:r>
    </w:p>
    <w:p/>
    <w:p>
      <w:pPr>
        <w:pStyle w:val="bizHeading4"/>
      </w:pPr>
      <w:bookmarkStart w:id="19" w:name="_Toc256000015"/>
      <w:r>
        <w:drawing>
          <wp:inline>
            <wp:extent cx="152421" cy="152421"/>
            <wp:docPr id="129121471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931497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Expurgar</w:t>
      </w:r>
      <w:bookmarkEnd w:id="19"/>
    </w:p>
    <w:p/>
    <w:p>
      <w:pPr>
        <w:pStyle w:val="bizHeading4"/>
      </w:pPr>
      <w:bookmarkStart w:id="20" w:name="_Toc256000016"/>
      <w:r>
        <w:drawing>
          <wp:inline>
            <wp:extent cx="152421" cy="152421"/>
            <wp:docPr id="23892959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938023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3. Registrar expurgo</w:t>
      </w:r>
      <w:bookmarkEnd w:id="20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</w:t>
      </w:r>
      <w:r>
        <w:t> Sistema SIHRO</w:t>
      </w:r>
      <w:r>
        <w:br/>
      </w:r>
      <w:r>
        <w:br/>
      </w:r>
      <w:r>
        <w:t>O que:</w:t>
      </w:r>
      <w:r>
        <w:t> Registrar expurgo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>Tarefa 1: </w:t>
      </w:r>
      <w:r>
        <w:t>Acessar o sistema SIHRO com login e senha;</w:t>
      </w:r>
      <w:r>
        <w:br/>
      </w:r>
      <w:r>
        <w:t>Tarefa 2:</w:t>
      </w:r>
      <w:r>
        <w:t xml:space="preserve"> Abrir a aba de estoque de bolsas do Controle de Qualidade (bolsas que foram distribuídas para o Controle);</w:t>
      </w:r>
      <w:r>
        <w:br/>
      </w:r>
      <w:r>
        <w:t>Observação: </w:t>
      </w:r>
      <w:r>
        <w:br/>
      </w:r>
      <w:r>
        <w:t>1 -</w:t>
      </w:r>
      <w:r>
        <w:t> </w:t>
      </w:r>
      <w:r>
        <w:t>Para registrar o expurgo da bolsa, o técnico deve antes dar um aceite para confirmar que a bolsa está no estoque do Controle de Qualidade.</w:t>
      </w:r>
      <w:r>
        <w:br/>
      </w:r>
      <w:r>
        <w:t xml:space="preserve">Tarefa 3: </w:t>
      </w:r>
      <w:r>
        <w:t>Selecionar a bolsa de CH e/ou CHF a ser expurgada no sistema  SIHRO;</w:t>
      </w:r>
      <w:r>
        <w:br/>
      </w:r>
      <w:r>
        <w:t>Observação: </w:t>
      </w:r>
      <w:r>
        <w:br/>
      </w:r>
      <w:r>
        <w:t xml:space="preserve">1 -  </w:t>
      </w:r>
      <w:r>
        <w:t>Ao acessar o estoque de bolsas distribuídas do Controle de Qualidade, o técnico conseguirá selecionar a bolsa a ser expurgada;</w:t>
      </w:r>
      <w:r>
        <w:br/>
      </w:r>
      <w:r>
        <w:t>Tarefa 4:</w:t>
      </w:r>
      <w:r>
        <w:t> Assinalar o motivo de expurgo;</w:t>
      </w:r>
    </w:p>
    <w:p>
      <w:pPr>
        <w:pStyle w:val="ModelerNormal"/>
        <w:spacing w:afterAutospacing="1"/>
      </w:pPr>
      <w:r>
        <w:t>Observações:</w:t>
      </w:r>
      <w:r>
        <w:br/>
      </w:r>
      <w:r>
        <w:t>1 - </w:t>
      </w:r>
      <w:r>
        <w:t>O sistema SIHRO terá os motivos dos descartes cadastrados, onde o técnico responsável deverá assinalar o motivo do expurgo;</w:t>
      </w:r>
      <w:r>
        <w:br/>
      </w:r>
      <w:r>
        <w:t>· Presença de grumos</w:t>
      </w:r>
      <w:r>
        <w:br/>
      </w:r>
      <w:r>
        <w:t>· Presença de vazamento</w:t>
      </w:r>
      <w:r>
        <w:br/>
      </w:r>
      <w:r>
        <w:t>· Alteração de cor</w:t>
      </w:r>
      <w:r>
        <w:br/>
      </w:r>
      <w:r>
        <w:t>· Lipemia</w:t>
      </w:r>
      <w:r>
        <w:br/>
      </w:r>
      <w:r>
        <w:t xml:space="preserve">2 - </w:t>
      </w:r>
      <w:r>
        <w:t>O sistema SIHRO terá um campo para preencher as</w:t>
      </w:r>
      <w:r>
        <w:t xml:space="preserve"> observações, que o técnico julgar necessária;</w:t>
      </w:r>
      <w:r>
        <w:br/>
      </w:r>
      <w:r>
        <w:t xml:space="preserve">3 - </w:t>
      </w:r>
      <w:r>
        <w:t>Na aba de registro de expurgo do sistema SIHRO, deve ter a opção de gerar relatórios de bolsas expurgadas.</w:t>
      </w:r>
    </w:p>
    <w:p>
      <w:pPr>
        <w:pStyle w:val="ModelerNormal"/>
        <w:spacing w:afterAutospacing="1"/>
      </w:pPr>
      <w:r>
        <w:t xml:space="preserve">Tarefa 5: </w:t>
      </w:r>
      <w:r>
        <w:t>Clicar em expurgar bolsa;</w:t>
      </w:r>
      <w:r>
        <w:br/>
      </w:r>
      <w:r>
        <w:t>Tarefa 6: </w:t>
      </w:r>
      <w:r>
        <w:t>Descartar a bolsa de CH e/ou CHF em lixo específico.</w:t>
      </w:r>
      <w:r>
        <w:br/>
      </w:r>
      <w:r>
        <w:br/>
      </w:r>
      <w:r>
        <w:t>Por que essa atividade acontece?</w:t>
      </w:r>
      <w:r>
        <w:br/>
      </w:r>
      <w:r>
        <w:t>Essa atividade acontece porque é necessário ter o registro do expurgo para fins de rastreabilidade e a bolsa de concentrado de hemácias inapropriada para uso será descartada em lixo específico.</w:t>
      </w:r>
    </w:p>
    <w:p>
      <w:pPr>
        <w:pStyle w:val="ModelerNormal"/>
        <w:spacing w:afterAutospacing="1"/>
      </w:pPr>
      <w:r>
        <w:t> </w:t>
      </w:r>
    </w:p>
    <w:p>
      <w:pPr>
        <w:pStyle w:val="bizHeading4"/>
      </w:pPr>
      <w:bookmarkStart w:id="21" w:name="_Toc256000017"/>
      <w:r>
        <w:drawing>
          <wp:inline>
            <wp:extent cx="152421" cy="152421"/>
            <wp:docPr id="1413059348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558126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Resultados disponíveis</w:t>
      </w:r>
      <w:bookmarkEnd w:id="21"/>
      <w:r>
        <w:t> </w:t>
      </w:r>
    </w:p>
    <w:p/>
    <w:p>
      <w:pPr>
        <w:pStyle w:val="bizHeading4"/>
      </w:pPr>
      <w:bookmarkStart w:id="22" w:name="_Toc256000018"/>
      <w:r>
        <w:drawing>
          <wp:inline>
            <wp:extent cx="152421" cy="152421"/>
            <wp:docPr id="193199099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6324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9. Registrar resultado</w:t>
      </w:r>
      <w:bookmarkEnd w:id="22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  <w:r>
        <w:br/>
      </w:r>
      <w:r>
        <w:br/>
      </w:r>
      <w:r>
        <w:t>O que:</w:t>
      </w:r>
      <w:r>
        <w:t xml:space="preserve"> Registrar resultados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Analisar os resultados</w:t>
      </w:r>
      <w:r>
        <w:t>;</w:t>
      </w:r>
      <w:r>
        <w:br/>
      </w:r>
      <w:r>
        <w:t>Observações:</w:t>
      </w:r>
      <w:r>
        <w:br/>
      </w:r>
      <w:r>
        <w:t>1 -</w:t>
      </w:r>
      <w:r>
        <w:t xml:space="preserve"> Caso os resultados dos testes estejam alterados, a bolsa será expurgada e o registro do expurgo realizado;</w:t>
      </w:r>
      <w:r>
        <w:br/>
      </w:r>
      <w:r>
        <w:t xml:space="preserve">2 - </w:t>
      </w:r>
      <w:r>
        <w:t>Os outros setores conseguirão visualizar no sistema SIHRO, as bolsa expurgadas pelo Controle de Qualidade.</w:t>
      </w:r>
      <w:r>
        <w:br/>
      </w:r>
      <w:r>
        <w:t>Tarefa 2: </w:t>
      </w:r>
      <w:r>
        <w:t>Acessar o sistema SIHRO com login e senha;</w:t>
      </w:r>
      <w:r>
        <w:br/>
      </w:r>
      <w:r>
        <w:t>Tarefa 3: </w:t>
      </w:r>
      <w:r>
        <w:t>Abrir aba "análise da qualidade dos hemocomponetes" e selecionar a opção analisar concentrado de hemácias (CH) ou concentrado de hemácias filtradas (CHF);</w:t>
      </w:r>
      <w:r>
        <w:br/>
      </w:r>
      <w:r>
        <w:t>Tarefa 4: </w:t>
      </w:r>
      <w:r>
        <w:t xml:space="preserve">Selecionar a bolsa que foi analisada; </w:t>
      </w:r>
      <w:r>
        <w:br/>
      </w:r>
      <w:r>
        <w:t>Tarefa 5:</w:t>
      </w:r>
      <w:r>
        <w:t> Registrar os resultados da procedimentos feitos na bolsa;</w:t>
      </w:r>
    </w:p>
    <w:p>
      <w:pPr>
        <w:pStyle w:val="ModelerNormal"/>
        <w:spacing w:afterAutospacing="1"/>
      </w:pPr>
      <w:r>
        <w:t xml:space="preserve">Observações: </w:t>
      </w:r>
      <w:r>
        <w:br/>
      </w:r>
      <w:r>
        <w:t xml:space="preserve">1 - </w:t>
      </w:r>
      <w:r>
        <w:t>O sistema SIHRO deverá conter os valores de referência do volume do Controle de Qualidade (220ml a 320ml).</w:t>
      </w:r>
      <w:r>
        <w:br/>
      </w:r>
      <w:r>
        <w:t>2 -</w:t>
      </w:r>
      <w:r>
        <w:t xml:space="preserve"> O Peso é dado em gramas e sistema SIHRO realizará o cálculo de conversão de gramas (g) para grandeza mililitro (ml), quando o registro do resultado for feito;</w:t>
      </w:r>
      <w:r>
        <w:br/>
      </w:r>
      <w:r>
        <w:t>3 -</w:t>
      </w:r>
      <w:r>
        <w:t xml:space="preserve"> O sistema SIHRO terá um campo para preencher as</w:t>
      </w:r>
      <w:r>
        <w:t xml:space="preserve"> observações, que o técnico julgar necessária.</w:t>
      </w:r>
      <w:r>
        <w:br/>
      </w:r>
      <w:r>
        <w:br/>
      </w:r>
      <w:r>
        <w:t xml:space="preserve">Tarefa 6: </w:t>
      </w:r>
      <w:r>
        <w:t xml:space="preserve">Preencher os campos do exame de hemograma; </w:t>
      </w:r>
      <w:r>
        <w:br/>
      </w:r>
      <w:r>
        <w:t>Observações:</w:t>
      </w:r>
      <w:r>
        <w:br/>
      </w:r>
      <w:r>
        <w:t xml:space="preserve">1 - </w:t>
      </w:r>
      <w:r>
        <w:t>O sistema SIHRO terá os campos dos valores do hemograma;</w:t>
      </w:r>
      <w:r>
        <w:br/>
      </w:r>
      <w:r>
        <w:t xml:space="preserve">· </w:t>
      </w:r>
      <w:r>
        <w:t>Hemoglobinas totais (ref.: &gt;45g/unid);</w:t>
      </w:r>
      <w:r>
        <w:br/>
      </w:r>
      <w:r>
        <w:t xml:space="preserve">· </w:t>
      </w:r>
      <w:r>
        <w:t>Hemólise (ref.: &lt;0,8% da massa no último dia de armazenamento);</w:t>
      </w:r>
      <w:r>
        <w:br/>
      </w:r>
      <w:r>
        <w:t xml:space="preserve">· </w:t>
      </w:r>
      <w:r>
        <w:t>Valores do hematócito;</w:t>
      </w:r>
      <w:r>
        <w:br/>
      </w:r>
      <w:r>
        <w:t xml:space="preserve">2 - </w:t>
      </w:r>
      <w:r>
        <w:t>O sistema deverá conter um campo para registrar qual foi o anticoagulante usado no tubo (Sagmanitol ou CPDA - 1);</w:t>
      </w:r>
      <w:r>
        <w:br/>
      </w:r>
      <w:r>
        <w:t xml:space="preserve">3 - </w:t>
      </w:r>
      <w:r>
        <w:t>O sistema deve conter os valores de referência do hematócrito, 50% a 70% como reagente sagmanitol e 65% a 80% com o reagente CPDA - 1.</w:t>
      </w:r>
      <w:r>
        <w:br/>
      </w:r>
      <w:r>
        <w:t>Tarefa 7:</w:t>
      </w:r>
      <w:r>
        <w:t xml:space="preserve"> Registrar o resultado obtido na leitura da amostra feita no Bioplus;</w:t>
      </w:r>
      <w:r>
        <w:br/>
      </w:r>
      <w:r>
        <w:t>Observações:</w:t>
      </w:r>
      <w:r>
        <w:br/>
      </w:r>
      <w:r>
        <w:t>1 -</w:t>
      </w:r>
      <w:r>
        <w:t xml:space="preserve"> O sistema SIHRO terá o valor de referência da hemoglobina livres;</w:t>
      </w:r>
      <w:r>
        <w:br/>
      </w:r>
      <w:r>
        <w:t>· 10g/dl</w:t>
      </w:r>
      <w:r>
        <w:br/>
      </w:r>
      <w:r>
        <w:t>· Aceitável de 9 g/dl a 11 g/dl;</w:t>
      </w:r>
      <w:r>
        <w:br/>
      </w:r>
      <w:r>
        <w:t xml:space="preserve">2 - </w:t>
      </w:r>
      <w:r>
        <w:t>O sistema SIHRO emitir um alerta visual quando algum dos parâmetros estiver fora dos valores de referência;</w:t>
      </w:r>
      <w:r>
        <w:br/>
      </w:r>
      <w:r>
        <w:t>3 -</w:t>
      </w:r>
      <w:r>
        <w:t xml:space="preserve"> Após o registro das informações obtidas nas análises, o sistema SIHRO terá opção de gerar relatório de porcentagem das análises mensais (10 bolsas = 100%). Sendo que o grau de conformidade deve ser igual ou superior a 75%, conforme apresentado abaixo na figura 2 e 2.1;</w:t>
      </w:r>
      <w:r>
        <w:br/>
      </w:r>
      <w:r>
        <w:t xml:space="preserve">4 - </w:t>
      </w:r>
      <w:r>
        <w:t>O sistema SIHRO terá nesta aba os status sobre o exame microbiológico (não realizado e aguardando resultado). Outros setores conseguirão visualizar esse status.</w:t>
      </w:r>
      <w:r>
        <w:br/>
      </w:r>
      <w:r>
        <w:t xml:space="preserve">Tarefa 8: </w:t>
      </w:r>
      <w:r>
        <w:t>Apertar Ok para salvar as informações.</w:t>
      </w:r>
    </w:p>
    <w:p>
      <w:pPr>
        <w:pStyle w:val="ModelerNormal"/>
        <w:spacing w:afterAutospacing="1"/>
      </w:pPr>
      <w:r>
        <w:t>Observações:</w:t>
      </w:r>
      <w:r>
        <w:br/>
      </w:r>
      <w:r>
        <w:t xml:space="preserve">1 - </w:t>
      </w:r>
      <w:r>
        <w:t>Ao salvar as informações,  estas serão disponibilizadas para o setor de Processamento; </w:t>
      </w:r>
      <w:r>
        <w:br/>
      </w:r>
      <w:r>
        <w:t xml:space="preserve">2 - </w:t>
      </w:r>
      <w:r>
        <w:t>O Processamento receberá alerta quando os resultados das análises estiverem disponíveis no sistema SIHRO e deverá dar o aceite, confirmando que recebeu.</w:t>
      </w:r>
      <w:r>
        <w:br/>
      </w:r>
      <w:r>
        <w:br/>
      </w:r>
      <w:r>
        <w:t>Porque esta atividade acontece?</w:t>
      </w:r>
      <w:r>
        <w:br/>
      </w:r>
      <w:r>
        <w:t xml:space="preserve">Essa atividade acontece porque é necessário registrar os resultados obtidos nas análises da amostra para a disponibilização, via sistema SIHRO ao setor de Processamento. </w:t>
      </w:r>
      <w:r>
        <w:br/>
      </w:r>
      <w:r>
        <w:t> </w:t>
      </w:r>
    </w:p>
    <w:p>
      <w:pPr>
        <w:pStyle w:val="ModelerNormal"/>
        <w:spacing w:afterAutospacing="1"/>
      </w:pPr>
      <w:r>
        <w:t> Fórmulas aplicadas CHF</w:t>
      </w:r>
      <w: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  <w:r>
        <w:br/>
      </w:r>
      <w:r>
        <w:t>Teor de hemoglobina (g/U</w:t>
      </w:r>
      <w:r>
        <w:t xml:space="preserve">) = Hb(g/dL) x volume da bolsa/100 </w:t>
      </w:r>
      <w:r>
        <w:br/>
      </w:r>
      <w:r>
        <w:t>Grau de Hemólise</w:t>
      </w:r>
      <w:r>
        <w:t xml:space="preserve"> = (100-Ht) x Hb livre / Hb total </w:t>
      </w:r>
      <w:r>
        <w:br/>
      </w:r>
      <w:r>
        <w:t>Leucócitos/Unidade</w:t>
      </w:r>
      <w:r>
        <w:t xml:space="preserve"> = (Leucócitos contados x10) / 50 x 1000 x volume da bolsa</w:t>
      </w:r>
      <w:r>
        <w:br/>
      </w:r>
      <w:r>
        <w:t>Volume do concentrado de hemácias (mL)</w:t>
      </w:r>
      <w:r>
        <w:t xml:space="preserve"> = Peso líquido do concentrado de hemácias (g) - Tara (49g) / Densidade do concentrado de hemácias (1,070g/mL)</w:t>
      </w:r>
    </w:p>
    <w:p>
      <w:pPr>
        <w:pStyle w:val="ModelerNormal"/>
        <w:spacing w:afterAutospacing="1"/>
      </w:pPr>
      <w:r>
        <w:t>* CH</w:t>
      </w:r>
    </w:p>
    <w:p>
      <w:pPr>
        <w:pStyle w:val="ModelerNormal"/>
        <w:spacing w:afterAutospacing="1"/>
      </w:pPr>
      <w:r>
        <w:t xml:space="preserve">Teor de hemoglobina(g/U) = </w:t>
      </w:r>
      <w:r>
        <w:t>Hb total x volume da bolsa/100</w:t>
      </w:r>
      <w:r>
        <w:br/>
      </w:r>
      <w:r>
        <w:t xml:space="preserve">Grau de Hemólise = </w:t>
      </w:r>
      <w:r>
        <w:t>(100-Ht) x Hb livre / Hb total</w:t>
      </w:r>
      <w:r>
        <w:br/>
      </w:r>
      <w:r>
        <w:t xml:space="preserve">Volume (ml) = </w:t>
      </w:r>
      <w:r>
        <w:t>Peso líquido do sangue total (g) - Tara (49g) / Densidade do sangue total 1,070 (g/mL) </w:t>
      </w:r>
      <w:r>
        <w:br/>
      </w:r>
      <w:r>
        <w:t xml:space="preserve"> Figura 1 </w:t>
      </w:r>
      <w:r>
        <w:t xml:space="preserve">- Exemplo da planilha de Concentrado de Hemácias: </w:t>
      </w:r>
    </w:p>
    <w:p>
      <w:pPr>
        <w:pStyle w:val="ModelerNormal"/>
        <w:spacing w:afterAutospacing="1"/>
      </w:pPr>
      <w:r>
        <w:t> </w:t>
      </w:r>
      <w:r>
        <w:drawing>
          <wp:inline>
            <wp:extent cx="5612130" cy="3422668"/>
            <wp:docPr id="10003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116547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4226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 xml:space="preserve"> Figura 1 </w:t>
      </w:r>
      <w:r>
        <w:t xml:space="preserve">- Exemplo da planilha de Concentrado de Hemácias Filtradas: 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drawing>
          <wp:inline>
            <wp:extent cx="5612130" cy="3302783"/>
            <wp:docPr id="10003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139446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3027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Figura 2</w:t>
      </w:r>
      <w:r>
        <w:t xml:space="preserve"> - Comunicação mensal - Relatório</w:t>
      </w:r>
    </w:p>
    <w:p>
      <w:pPr>
        <w:pStyle w:val="ModelerNormal"/>
        <w:spacing w:afterAutospacing="1"/>
      </w:pPr>
      <w:r>
        <w:drawing>
          <wp:inline>
            <wp:extent cx="5612130" cy="3842582"/>
            <wp:docPr id="10003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506702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42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ModelerNormal"/>
        <w:spacing w:afterAutospacing="1"/>
      </w:pPr>
      <w:r>
        <w:drawing>
          <wp:inline>
            <wp:extent cx="5612130" cy="3694769"/>
            <wp:docPr id="10003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077725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6947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Figura 2.1</w:t>
      </w:r>
      <w:r>
        <w:t xml:space="preserve"> - Comunicação semanal - Relatório</w:t>
      </w:r>
    </w:p>
    <w:p>
      <w:pPr>
        <w:pStyle w:val="ModelerNormal"/>
        <w:spacing w:afterAutospacing="1"/>
      </w:pPr>
      <w:r>
        <w:drawing>
          <wp:inline>
            <wp:extent cx="266700" cy="266700"/>
            <wp:docPr id="10003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626666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266700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Figura 3</w:t>
      </w:r>
      <w:r>
        <w:t xml:space="preserve"> - Relatório mensal e do SUS  - que é encaminhado para o setor de Estatística e SUS</w:t>
      </w:r>
    </w:p>
    <w:p>
      <w:pPr>
        <w:pStyle w:val="ModelerNormal"/>
        <w:spacing w:afterAutospacing="1"/>
      </w:pPr>
      <w:r>
        <w:drawing>
          <wp:inline>
            <wp:extent cx="5612130" cy="3974676"/>
            <wp:docPr id="10003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648556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974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Figura 4</w:t>
      </w:r>
      <w:r>
        <w:t xml:space="preserve"> - Relatório mensal de indicadores</w:t>
      </w:r>
    </w:p>
    <w:p>
      <w:pPr>
        <w:pStyle w:val="ModelerNormal"/>
        <w:spacing w:afterAutospacing="1"/>
      </w:pPr>
      <w:r>
        <w:t> </w:t>
      </w:r>
      <w:r>
        <w:drawing>
          <wp:inline>
            <wp:extent cx="5612130" cy="4000657"/>
            <wp:docPr id="10003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252026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0006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bizHeading4"/>
      </w:pPr>
      <w:bookmarkStart w:id="23" w:name="_Toc256000019"/>
      <w:r>
        <w:drawing>
          <wp:inline>
            <wp:extent cx="152421" cy="152421"/>
            <wp:docPr id="48373458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435983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Expurgar</w:t>
      </w:r>
      <w:bookmarkEnd w:id="23"/>
    </w:p>
    <w:p/>
    <w:p/>
    <w:sectPr>
      <w:pgSz w:w="12240" w:h="15840"/>
      <w:pgMar w:top="1616" w:right="1701" w:bottom="1418" w:left="1701"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eo Sans Std">
    <w:panose1 w:val="020B0504030504040204"/>
    <w:charset w:val="00"/>
    <w:family w:val="swiss"/>
    <w:pitch w:val="variable"/>
    <w:sig w:usb0="800000AF" w:usb1="5000205B" w:usb2="00000000" w:usb3="00000000" w:csb0="00000001" w:csb1="00000000"/>
  </w:font>
  <w:font w:name="Aller">
    <w:altName w:val="Corbel"/>
    <w:panose1 w:val="02000503030000020004"/>
    <w:charset w:val="00"/>
    <w:family w:val="auto"/>
    <w:pitch w:val="variable"/>
    <w:sig w:usb0="00000001" w:usb1="5000205B" w:usb2="00000000" w:usb3="00000000" w:csb0="00000093" w:csb1="00000000"/>
  </w:font>
  <w:font w:name="Aller Light">
    <w:altName w:val="Corbel"/>
    <w:panose1 w:val="02000503000000020004"/>
    <w:charset w:val="00"/>
    <w:family w:val="auto"/>
    <w:pitch w:val="variable"/>
    <w:sig w:usb0="00000001" w:usb1="5000205B" w:usb2="00000000" w:usb3="00000000" w:csb0="000000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Vrinda">
    <w:panose1 w:val="00000400000000000000"/>
    <w:charset w:val="01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P="00F05C3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603BE" w:rsidP="00B603BE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86E" w:rsidRPr="003B5308" w:rsidP="003B5308">
    <w:pPr>
      <w:pStyle w:val="Footer"/>
      <w:rPr>
        <w:i/>
        <w:iCs/>
        <w:lang w:val="es-CO"/>
      </w:rPr>
    </w:pPr>
    <w:r>
      <w:rPr>
        <w:i/>
        <w:iCs/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width:103.2pt;height:26.5pt;margin-top:-19.35pt;margin-left:-46.95pt;position:absolute;z-index:-251658240" stroked="f">
          <v:textbox>
            <w:txbxContent>
              <w:p w:rsidR="003B5308" w:rsidRPr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</w:t>
                  </w:r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i</w:t>
                  </w:r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.com</w:t>
                  </w:r>
                </w:hyperlink>
              </w:p>
            </w:txbxContent>
          </v:textbox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308">
    <w:pPr>
      <w:pStyle w:val="Footer"/>
    </w:pPr>
    <w:r>
      <w:rPr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width:103.2pt;height:26.5pt;margin-top:-16.45pt;margin-left:-49.65pt;position:absolute;z-index:251659264" stroked="f">
          <v:textbox>
            <w:txbxContent>
              <w:p w:rsidR="003B5308" w:rsidRPr="003B5308" w:rsidP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www.bizagi.com</w:t>
                  </w:r>
                </w:hyperlink>
              </w:p>
            </w:txbxContent>
          </v:textbox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AE3ACF" w:rsidP="006A5345">
    <w:pPr>
      <w:pStyle w:val="Confidential"/>
      <w:jc w:val="center"/>
    </w:pPr>
    <w:r w:rsidR="00A50009">
      <w:t>www.bizagi.com</w:t>
    </w:r>
    <w:r w:rsidR="00463079">
      <w:t xml:space="preserve">                                          </w:t>
    </w:r>
    <w:r w:rsidR="00A50009">
      <w:t xml:space="preserve">  </w:t>
    </w:r>
    <w:r w:rsidR="00463079">
      <w:t xml:space="preserve">     </w:t>
    </w:r>
    <w:r w:rsidRPr="00463079" w:rsidR="00463079">
      <w:rPr>
        <w:sz w:val="18"/>
        <w:szCs w:val="18"/>
      </w:rPr>
      <w:t>Confidential</w:t>
    </w:r>
    <w:r w:rsidR="00463079">
      <w:t xml:space="preserve">                        </w:t>
    </w:r>
    <w:r w:rsidR="00A50009">
      <w:t xml:space="preserve">                       </w:t>
    </w:r>
    <w:r w:rsidR="00A33804">
      <w:t xml:space="preserve">               </w:t>
    </w:r>
    <w:r w:rsidRPr="00A50009" w:rsidR="00463079">
      <w:rPr>
        <w:i w:val="0"/>
        <w:iCs/>
        <w:sz w:val="18"/>
        <w:szCs w:val="18"/>
      </w:rPr>
      <w:t xml:space="preserve">| </w:t>
    </w:r>
    <w:r w:rsidRPr="00A50009" w:rsidR="00463079">
      <w:rPr>
        <w:i w:val="0"/>
        <w:iCs/>
        <w:sz w:val="18"/>
        <w:szCs w:val="18"/>
      </w:rPr>
      <w:fldChar w:fldCharType="begin"/>
    </w:r>
    <w:r w:rsidRPr="00A50009" w:rsidR="00463079">
      <w:rPr>
        <w:i w:val="0"/>
        <w:iCs/>
        <w:sz w:val="18"/>
        <w:szCs w:val="18"/>
      </w:rPr>
      <w:instrText xml:space="preserve"> PAGE   \* MERGEFORMAT </w:instrText>
    </w:r>
    <w:r w:rsidRPr="00A50009" w:rsidR="00463079">
      <w:rPr>
        <w:i w:val="0"/>
        <w:iCs/>
        <w:sz w:val="18"/>
        <w:szCs w:val="18"/>
      </w:rPr>
      <w:fldChar w:fldCharType="separate"/>
    </w:r>
    <w:r w:rsidR="00032CAE">
      <w:rPr>
        <w:i w:val="0"/>
        <w:iCs/>
        <w:noProof/>
        <w:sz w:val="18"/>
        <w:szCs w:val="18"/>
      </w:rPr>
      <w:t>23</w:t>
    </w:r>
    <w:r w:rsidRPr="00A50009" w:rsidR="00463079">
      <w:rPr>
        <w:i w:val="0"/>
        <w:iCs/>
        <w:noProof/>
        <w:sz w:val="18"/>
        <w:szCs w:val="18"/>
      </w:rP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 w:rsidP="00275F9A">
    <w:pPr>
      <w:pStyle w:val="Header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49" type="#_x0000_t75" style="width:168.53pt;height:46.21pt" stroked="f">
          <v:imagedata r:id="rId1" o:title=""/>
        </v:shape>
      </w:pict>
    </w:r>
    <w:r>
      <w:rPr>
        <w:noProof/>
      </w:rPr>
      <w:pict>
        <v:shape id="Picture 18" o:spid="_x0000_s2050" type="#_x0000_t75" style="width:602.95pt;height:432.85pt;margin-top:-35.25pt;margin-left:-84.45pt;mso-height-relative:margin;mso-width-relative:margin;position:absolute;visibility:visible;z-index:-251655168" filled="f" stroked="f">
          <v:imagedata r:id="rId2" o:title=""/>
          <o:lock v:ext="edit" aspectratio="t"/>
        </v:shape>
      </w:pict>
    </w:r>
  </w:p>
  <w:p w:rsidR="00275F9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B603BE">
    <w:pPr>
      <w:pStyle w:val="Header"/>
      <w:rPr>
        <w:lang w:val="es-ES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3" type="#_x0000_t75" style="width:96.61pt;height:26.43pt" stroked="f">
          <v:imagedata r:id="rId1" o:title="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1EE" w:rsidP="001B21EE">
    <w:pPr>
      <w:pStyle w:val="Header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4" type="#_x0000_t75" style="width:125.48pt;height:45.72pt" stroked="f">
          <v:imagedata r:id="rId1" o:title="bizagiLogo"/>
        </v:shape>
      </w:pict>
    </w:r>
  </w:p>
  <w:p w:rsidR="00275F9A">
    <w:pPr>
      <w:pStyle w:val="Header"/>
    </w:pPr>
    <w:r>
      <w:rPr>
        <w:noProof/>
      </w:rPr>
      <w:pict>
        <v:shape id="_x0000_s2055" type="#_x0000_t75" style="width:376.3pt;height:534.55pt;margin-top:151.95pt;margin-left:-85.4pt;mso-position-horizontal-relative:margin;mso-position-vertical-relative:margin;position:absolute;z-index:-251656192" stroked="f">
          <v:imagedata r:id="rId2" o:title="originalBizagiBackground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D60A4"/>
    <w:multiLevelType w:val="multilevel"/>
    <w:tmpl w:val="D42ACEBE"/>
    <w:numStyleLink w:val="Headings"/>
  </w:abstractNum>
  <w:abstractNum w:abstractNumId="1">
    <w:nsid w:val="0A13321D"/>
    <w:multiLevelType w:val="multilevel"/>
    <w:tmpl w:val="C4520BEC"/>
    <w:lvl w:ilvl="0">
      <w:start w:val="1"/>
      <w:numFmt w:val="decimal"/>
      <w:pStyle w:val="bizHeading1"/>
      <w:lvlText w:val="%1"/>
      <w:lvlJc w:val="left"/>
      <w:pPr>
        <w:tabs>
          <w:tab w:val="num" w:pos="936"/>
        </w:tabs>
        <w:ind w:left="936" w:hanging="432"/>
      </w:pPr>
      <w:rPr>
        <w:rFonts w:hint="default"/>
      </w:rPr>
    </w:lvl>
    <w:lvl w:ilvl="1">
      <w:start w:val="1"/>
      <w:numFmt w:val="decimal"/>
      <w:pStyle w:val="bizHeading2"/>
      <w:lvlText w:val="%1.%2"/>
      <w:lvlJc w:val="left"/>
      <w:pPr>
        <w:tabs>
          <w:tab w:val="num" w:pos="1080"/>
        </w:tabs>
        <w:ind w:left="1080" w:hanging="576"/>
      </w:pPr>
      <w:rPr>
        <w:rFonts w:hint="default"/>
      </w:rPr>
    </w:lvl>
    <w:lvl w:ilvl="2">
      <w:start w:val="1"/>
      <w:numFmt w:val="decimal"/>
      <w:pStyle w:val="bizHeading3"/>
      <w:lvlText w:val="%1.%2.%3"/>
      <w:lvlJc w:val="left"/>
      <w:pPr>
        <w:tabs>
          <w:tab w:val="num" w:pos="1224"/>
        </w:tabs>
        <w:ind w:left="1224" w:hanging="720"/>
      </w:pPr>
      <w:rPr>
        <w:rFonts w:hint="default"/>
      </w:rPr>
    </w:lvl>
    <w:lvl w:ilvl="3">
      <w:start w:val="1"/>
      <w:numFmt w:val="decimal"/>
      <w:pStyle w:val="bizHeading4"/>
      <w:lvlText w:val="%1.%2.%3.%4"/>
      <w:lvlJc w:val="left"/>
      <w:pPr>
        <w:tabs>
          <w:tab w:val="num" w:pos="1368"/>
        </w:tabs>
        <w:ind w:left="1368" w:hanging="864"/>
      </w:pPr>
      <w:rPr>
        <w:rFonts w:hint="default"/>
        <w:b/>
        <w:i w:val="0"/>
        <w:sz w:val="20"/>
        <w:szCs w:val="20"/>
      </w:rPr>
    </w:lvl>
    <w:lvl w:ilvl="4">
      <w:start w:val="1"/>
      <w:numFmt w:val="decimal"/>
      <w:pStyle w:val="bizHeading5"/>
      <w:lvlText w:val="%1.%2.%3.%4.%5"/>
      <w:lvlJc w:val="left"/>
      <w:pPr>
        <w:tabs>
          <w:tab w:val="num" w:pos="1512"/>
        </w:tabs>
        <w:ind w:left="1512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656"/>
        </w:tabs>
        <w:ind w:left="165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44"/>
        </w:tabs>
        <w:ind w:left="19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88"/>
        </w:tabs>
        <w:ind w:left="2088" w:hanging="1584"/>
      </w:pPr>
      <w:rPr>
        <w:rFonts w:hint="default"/>
      </w:rPr>
    </w:lvl>
  </w:abstractNum>
  <w:abstractNum w:abstractNumId="2">
    <w:nsid w:val="298877DF"/>
    <w:multiLevelType w:val="hybridMultilevel"/>
    <w:tmpl w:val="2FF64D54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194FAE"/>
    <w:multiLevelType w:val="multilevel"/>
    <w:tmpl w:val="D42ACEBE"/>
    <w:numStyleLink w:val="Headings"/>
  </w:abstractNum>
  <w:abstractNum w:abstractNumId="4">
    <w:nsid w:val="44B055A6"/>
    <w:multiLevelType w:val="multilevel"/>
    <w:tmpl w:val="D42ACEBE"/>
    <w:numStyleLink w:val="Headings"/>
  </w:abstractNum>
  <w:abstractNum w:abstractNumId="5">
    <w:nsid w:val="4ACB189B"/>
    <w:multiLevelType w:val="multilevel"/>
    <w:tmpl w:val="35E627E4"/>
    <w:styleLink w:val="Headings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" w:hanging="360"/>
      </w:pPr>
      <w:rPr>
        <w:rFonts w:hint="default"/>
      </w:rPr>
    </w:lvl>
  </w:abstractNum>
  <w:abstractNum w:abstractNumId="6">
    <w:nsid w:val="4BE02392"/>
    <w:multiLevelType w:val="multilevel"/>
    <w:tmpl w:val="9B52074E"/>
    <w:numStyleLink w:val="Headings"/>
  </w:abstractNum>
  <w:abstractNum w:abstractNumId="7">
    <w:nsid w:val="681C5AA5"/>
    <w:multiLevelType w:val="multilevel"/>
    <w:tmpl w:val="35E627E4"/>
    <w:numStyleLink w:val="Headings"/>
  </w:abstractNum>
  <w:abstractNum w:abstractNumId="8">
    <w:nsid w:val="6A411E3C"/>
    <w:multiLevelType w:val="multilevel"/>
    <w:tmpl w:val="0F742404"/>
    <w:styleLink w:val="Lista1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6BAF63F9"/>
    <w:multiLevelType w:val="hybridMultilevel"/>
    <w:tmpl w:val="0BAADF2C"/>
    <w:lvl w:ilvl="0">
      <w:start w:val="1"/>
      <w:numFmt w:val="decimal"/>
      <w:pStyle w:val="bizHeadingBAS1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C1314F"/>
    <w:multiLevelType w:val="hybridMultilevel"/>
    <w:tmpl w:val="0F64E4CC"/>
    <w:lvl w:ilvl="0">
      <w:start w:val="1"/>
      <w:numFmt w:val="bullet"/>
      <w:pStyle w:val="ListBullet"/>
      <w:lvlText w:val=""/>
      <w:lvlJc w:val="left"/>
      <w:pPr>
        <w:tabs>
          <w:tab w:val="num" w:pos="144"/>
        </w:tabs>
        <w:ind w:left="288" w:hanging="288"/>
      </w:pPr>
      <w:rPr>
        <w:rFonts w:ascii="Symbol" w:hAnsi="Symbol" w:hint="default"/>
        <w:sz w:val="16"/>
        <w:szCs w:val="16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10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4"/>
  </w:num>
  <w:num w:numId="9">
    <w:abstractNumId w:val="6"/>
  </w:num>
  <w:num w:numId="10">
    <w:abstractNumId w:val="7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405D"/>
    <w:rsid w:val="000007FB"/>
    <w:rsid w:val="00000F1B"/>
    <w:rsid w:val="00003A15"/>
    <w:rsid w:val="00003D77"/>
    <w:rsid w:val="000074F6"/>
    <w:rsid w:val="00007736"/>
    <w:rsid w:val="00012BBE"/>
    <w:rsid w:val="00014F7C"/>
    <w:rsid w:val="00015341"/>
    <w:rsid w:val="00015ACC"/>
    <w:rsid w:val="00021707"/>
    <w:rsid w:val="0002310C"/>
    <w:rsid w:val="00025BD9"/>
    <w:rsid w:val="0003100E"/>
    <w:rsid w:val="00031F20"/>
    <w:rsid w:val="00032CAE"/>
    <w:rsid w:val="000400C4"/>
    <w:rsid w:val="00056796"/>
    <w:rsid w:val="000606FF"/>
    <w:rsid w:val="00062727"/>
    <w:rsid w:val="00064038"/>
    <w:rsid w:val="00071488"/>
    <w:rsid w:val="000734DA"/>
    <w:rsid w:val="00074D42"/>
    <w:rsid w:val="00074E36"/>
    <w:rsid w:val="000774A1"/>
    <w:rsid w:val="00084110"/>
    <w:rsid w:val="0008686E"/>
    <w:rsid w:val="00086D30"/>
    <w:rsid w:val="0008735C"/>
    <w:rsid w:val="00091358"/>
    <w:rsid w:val="000961EB"/>
    <w:rsid w:val="00097384"/>
    <w:rsid w:val="000B26D6"/>
    <w:rsid w:val="000B2900"/>
    <w:rsid w:val="000B4982"/>
    <w:rsid w:val="000B5018"/>
    <w:rsid w:val="000D0F74"/>
    <w:rsid w:val="000D2ECA"/>
    <w:rsid w:val="000D74E2"/>
    <w:rsid w:val="000E1245"/>
    <w:rsid w:val="000E1F68"/>
    <w:rsid w:val="000E2E00"/>
    <w:rsid w:val="000E4853"/>
    <w:rsid w:val="000E4AD1"/>
    <w:rsid w:val="000F0F39"/>
    <w:rsid w:val="000F5064"/>
    <w:rsid w:val="000F5CBC"/>
    <w:rsid w:val="00105188"/>
    <w:rsid w:val="00105811"/>
    <w:rsid w:val="00107B4C"/>
    <w:rsid w:val="00115201"/>
    <w:rsid w:val="0011555F"/>
    <w:rsid w:val="001244D0"/>
    <w:rsid w:val="00133DB2"/>
    <w:rsid w:val="0014099E"/>
    <w:rsid w:val="0014184E"/>
    <w:rsid w:val="001442E7"/>
    <w:rsid w:val="00146FD2"/>
    <w:rsid w:val="00152EF1"/>
    <w:rsid w:val="00153542"/>
    <w:rsid w:val="00153CDC"/>
    <w:rsid w:val="00154FD3"/>
    <w:rsid w:val="001572C1"/>
    <w:rsid w:val="00160AE1"/>
    <w:rsid w:val="00161BEE"/>
    <w:rsid w:val="001631E2"/>
    <w:rsid w:val="00163F1C"/>
    <w:rsid w:val="00165BDD"/>
    <w:rsid w:val="00167DB2"/>
    <w:rsid w:val="00170E80"/>
    <w:rsid w:val="001745B2"/>
    <w:rsid w:val="00175724"/>
    <w:rsid w:val="00184ACA"/>
    <w:rsid w:val="0018567E"/>
    <w:rsid w:val="001860BF"/>
    <w:rsid w:val="001911EC"/>
    <w:rsid w:val="001967F0"/>
    <w:rsid w:val="001A0D60"/>
    <w:rsid w:val="001A3D5B"/>
    <w:rsid w:val="001B21EE"/>
    <w:rsid w:val="001C22BE"/>
    <w:rsid w:val="001C251F"/>
    <w:rsid w:val="001D335C"/>
    <w:rsid w:val="001D77FC"/>
    <w:rsid w:val="001E527D"/>
    <w:rsid w:val="001E5639"/>
    <w:rsid w:val="001F3B82"/>
    <w:rsid w:val="001F5161"/>
    <w:rsid w:val="001F5727"/>
    <w:rsid w:val="00203170"/>
    <w:rsid w:val="00213E7F"/>
    <w:rsid w:val="0021548A"/>
    <w:rsid w:val="002313AF"/>
    <w:rsid w:val="002431E4"/>
    <w:rsid w:val="00245ACB"/>
    <w:rsid w:val="00245B5B"/>
    <w:rsid w:val="0024677B"/>
    <w:rsid w:val="002501A6"/>
    <w:rsid w:val="0025587E"/>
    <w:rsid w:val="00270F07"/>
    <w:rsid w:val="002732D9"/>
    <w:rsid w:val="0027569B"/>
    <w:rsid w:val="00275F9A"/>
    <w:rsid w:val="002945BF"/>
    <w:rsid w:val="002A1FD5"/>
    <w:rsid w:val="002A3185"/>
    <w:rsid w:val="002B3EFE"/>
    <w:rsid w:val="002B65BB"/>
    <w:rsid w:val="002B7464"/>
    <w:rsid w:val="002B7F64"/>
    <w:rsid w:val="002C4B5D"/>
    <w:rsid w:val="002C6201"/>
    <w:rsid w:val="002D20E4"/>
    <w:rsid w:val="002D6001"/>
    <w:rsid w:val="002D673C"/>
    <w:rsid w:val="002E0F27"/>
    <w:rsid w:val="002E7C7C"/>
    <w:rsid w:val="002F0FB6"/>
    <w:rsid w:val="00305B53"/>
    <w:rsid w:val="00312616"/>
    <w:rsid w:val="003201C8"/>
    <w:rsid w:val="003247EA"/>
    <w:rsid w:val="003263B4"/>
    <w:rsid w:val="00326B56"/>
    <w:rsid w:val="00326F94"/>
    <w:rsid w:val="00330E4C"/>
    <w:rsid w:val="00331169"/>
    <w:rsid w:val="0033261A"/>
    <w:rsid w:val="0033264A"/>
    <w:rsid w:val="00333651"/>
    <w:rsid w:val="00333A43"/>
    <w:rsid w:val="00334236"/>
    <w:rsid w:val="00342534"/>
    <w:rsid w:val="0034294D"/>
    <w:rsid w:val="00344C90"/>
    <w:rsid w:val="00344F17"/>
    <w:rsid w:val="00345DA2"/>
    <w:rsid w:val="00353FC8"/>
    <w:rsid w:val="00362E19"/>
    <w:rsid w:val="0036453B"/>
    <w:rsid w:val="00364B15"/>
    <w:rsid w:val="003715DB"/>
    <w:rsid w:val="00372ED7"/>
    <w:rsid w:val="00376C9A"/>
    <w:rsid w:val="00382F51"/>
    <w:rsid w:val="00384D6B"/>
    <w:rsid w:val="003859E7"/>
    <w:rsid w:val="00393D40"/>
    <w:rsid w:val="003A26CF"/>
    <w:rsid w:val="003A6EDD"/>
    <w:rsid w:val="003B5308"/>
    <w:rsid w:val="003C1C42"/>
    <w:rsid w:val="003D32DA"/>
    <w:rsid w:val="003D699F"/>
    <w:rsid w:val="003D7DE5"/>
    <w:rsid w:val="003E0728"/>
    <w:rsid w:val="003E28A5"/>
    <w:rsid w:val="003E48D4"/>
    <w:rsid w:val="003E5F9A"/>
    <w:rsid w:val="003E7AC4"/>
    <w:rsid w:val="003F36E3"/>
    <w:rsid w:val="0040021E"/>
    <w:rsid w:val="00402100"/>
    <w:rsid w:val="00402D66"/>
    <w:rsid w:val="00414DCE"/>
    <w:rsid w:val="00422C9A"/>
    <w:rsid w:val="004255C7"/>
    <w:rsid w:val="00425E09"/>
    <w:rsid w:val="0043331B"/>
    <w:rsid w:val="00440553"/>
    <w:rsid w:val="00443780"/>
    <w:rsid w:val="00445EDC"/>
    <w:rsid w:val="00447241"/>
    <w:rsid w:val="004478F1"/>
    <w:rsid w:val="00447FB2"/>
    <w:rsid w:val="00450B29"/>
    <w:rsid w:val="00451BB4"/>
    <w:rsid w:val="00456DF1"/>
    <w:rsid w:val="00463079"/>
    <w:rsid w:val="00463FAD"/>
    <w:rsid w:val="00473639"/>
    <w:rsid w:val="0048085A"/>
    <w:rsid w:val="00483741"/>
    <w:rsid w:val="00490365"/>
    <w:rsid w:val="00494A66"/>
    <w:rsid w:val="00497467"/>
    <w:rsid w:val="004A338C"/>
    <w:rsid w:val="004A4250"/>
    <w:rsid w:val="004A5B6B"/>
    <w:rsid w:val="004A7AA5"/>
    <w:rsid w:val="004B411D"/>
    <w:rsid w:val="004B66E5"/>
    <w:rsid w:val="004B6FAB"/>
    <w:rsid w:val="004C1A63"/>
    <w:rsid w:val="004C1B4C"/>
    <w:rsid w:val="004C2A9C"/>
    <w:rsid w:val="004C30E2"/>
    <w:rsid w:val="004C536F"/>
    <w:rsid w:val="004D16DF"/>
    <w:rsid w:val="004D7B3B"/>
    <w:rsid w:val="004F1444"/>
    <w:rsid w:val="004F48B3"/>
    <w:rsid w:val="00500120"/>
    <w:rsid w:val="005012CE"/>
    <w:rsid w:val="00503EE8"/>
    <w:rsid w:val="00503FF1"/>
    <w:rsid w:val="00507477"/>
    <w:rsid w:val="00527129"/>
    <w:rsid w:val="00534239"/>
    <w:rsid w:val="0053486F"/>
    <w:rsid w:val="00535E45"/>
    <w:rsid w:val="00540156"/>
    <w:rsid w:val="005402E4"/>
    <w:rsid w:val="005529B3"/>
    <w:rsid w:val="00554DC9"/>
    <w:rsid w:val="005624B2"/>
    <w:rsid w:val="00562BBE"/>
    <w:rsid w:val="005640C6"/>
    <w:rsid w:val="005676E5"/>
    <w:rsid w:val="00572CD1"/>
    <w:rsid w:val="00574F23"/>
    <w:rsid w:val="00576752"/>
    <w:rsid w:val="005868D8"/>
    <w:rsid w:val="00587ADF"/>
    <w:rsid w:val="00591299"/>
    <w:rsid w:val="00591489"/>
    <w:rsid w:val="005A5202"/>
    <w:rsid w:val="005A70BD"/>
    <w:rsid w:val="005B1D20"/>
    <w:rsid w:val="005B230C"/>
    <w:rsid w:val="005D0836"/>
    <w:rsid w:val="005D0FE7"/>
    <w:rsid w:val="005D720A"/>
    <w:rsid w:val="005E21A4"/>
    <w:rsid w:val="005E31F9"/>
    <w:rsid w:val="005F3913"/>
    <w:rsid w:val="005F3E2D"/>
    <w:rsid w:val="005F683B"/>
    <w:rsid w:val="005F6D8C"/>
    <w:rsid w:val="00603E0F"/>
    <w:rsid w:val="0060571A"/>
    <w:rsid w:val="006128B8"/>
    <w:rsid w:val="00613750"/>
    <w:rsid w:val="006258E4"/>
    <w:rsid w:val="00630DDB"/>
    <w:rsid w:val="00636FCF"/>
    <w:rsid w:val="006406AE"/>
    <w:rsid w:val="006439D7"/>
    <w:rsid w:val="00645AD4"/>
    <w:rsid w:val="00646A59"/>
    <w:rsid w:val="006478FA"/>
    <w:rsid w:val="0066431A"/>
    <w:rsid w:val="00670E18"/>
    <w:rsid w:val="006726D2"/>
    <w:rsid w:val="00673AA0"/>
    <w:rsid w:val="00680CF5"/>
    <w:rsid w:val="00682B73"/>
    <w:rsid w:val="00682EC2"/>
    <w:rsid w:val="006871AC"/>
    <w:rsid w:val="00692B0C"/>
    <w:rsid w:val="0069526B"/>
    <w:rsid w:val="006958E0"/>
    <w:rsid w:val="0069770B"/>
    <w:rsid w:val="006A01F4"/>
    <w:rsid w:val="006A5345"/>
    <w:rsid w:val="006B0908"/>
    <w:rsid w:val="006C2187"/>
    <w:rsid w:val="006C5BC9"/>
    <w:rsid w:val="006E0689"/>
    <w:rsid w:val="006E2B36"/>
    <w:rsid w:val="006F44CE"/>
    <w:rsid w:val="006F6461"/>
    <w:rsid w:val="00703508"/>
    <w:rsid w:val="0070473B"/>
    <w:rsid w:val="0070512E"/>
    <w:rsid w:val="00705381"/>
    <w:rsid w:val="007056B0"/>
    <w:rsid w:val="00711AA1"/>
    <w:rsid w:val="00714B19"/>
    <w:rsid w:val="00722BDE"/>
    <w:rsid w:val="0073310A"/>
    <w:rsid w:val="00734243"/>
    <w:rsid w:val="00743611"/>
    <w:rsid w:val="00753E90"/>
    <w:rsid w:val="00760E2F"/>
    <w:rsid w:val="00773DEB"/>
    <w:rsid w:val="007741DF"/>
    <w:rsid w:val="00774636"/>
    <w:rsid w:val="00781243"/>
    <w:rsid w:val="0078732B"/>
    <w:rsid w:val="00787DA9"/>
    <w:rsid w:val="00787E0A"/>
    <w:rsid w:val="007914C6"/>
    <w:rsid w:val="007A2CFF"/>
    <w:rsid w:val="007B3313"/>
    <w:rsid w:val="007B663B"/>
    <w:rsid w:val="007C4D01"/>
    <w:rsid w:val="007C5A5C"/>
    <w:rsid w:val="007D4C61"/>
    <w:rsid w:val="007D63D4"/>
    <w:rsid w:val="007E50A6"/>
    <w:rsid w:val="007E6FC5"/>
    <w:rsid w:val="007E7B92"/>
    <w:rsid w:val="007F20AE"/>
    <w:rsid w:val="007F5560"/>
    <w:rsid w:val="00803056"/>
    <w:rsid w:val="00805CF9"/>
    <w:rsid w:val="00810B05"/>
    <w:rsid w:val="00820B48"/>
    <w:rsid w:val="00823735"/>
    <w:rsid w:val="00823FEB"/>
    <w:rsid w:val="008261D1"/>
    <w:rsid w:val="0082646C"/>
    <w:rsid w:val="00830C0D"/>
    <w:rsid w:val="0083534E"/>
    <w:rsid w:val="00840511"/>
    <w:rsid w:val="008416BE"/>
    <w:rsid w:val="008426A8"/>
    <w:rsid w:val="00843316"/>
    <w:rsid w:val="00846E73"/>
    <w:rsid w:val="00854218"/>
    <w:rsid w:val="008606E1"/>
    <w:rsid w:val="00862648"/>
    <w:rsid w:val="00865284"/>
    <w:rsid w:val="00876E5D"/>
    <w:rsid w:val="00885444"/>
    <w:rsid w:val="00885706"/>
    <w:rsid w:val="008869C4"/>
    <w:rsid w:val="00890369"/>
    <w:rsid w:val="00891880"/>
    <w:rsid w:val="00897789"/>
    <w:rsid w:val="008A015E"/>
    <w:rsid w:val="008A06D1"/>
    <w:rsid w:val="008B0CB5"/>
    <w:rsid w:val="008B780C"/>
    <w:rsid w:val="008C074A"/>
    <w:rsid w:val="008C2240"/>
    <w:rsid w:val="008C2CEA"/>
    <w:rsid w:val="008C6778"/>
    <w:rsid w:val="008D2D31"/>
    <w:rsid w:val="008D537D"/>
    <w:rsid w:val="008D7250"/>
    <w:rsid w:val="008E1BD1"/>
    <w:rsid w:val="008F524D"/>
    <w:rsid w:val="008F5647"/>
    <w:rsid w:val="00913444"/>
    <w:rsid w:val="00914BC2"/>
    <w:rsid w:val="00923871"/>
    <w:rsid w:val="00931B93"/>
    <w:rsid w:val="0093251F"/>
    <w:rsid w:val="00933901"/>
    <w:rsid w:val="009360A9"/>
    <w:rsid w:val="00943A19"/>
    <w:rsid w:val="00953102"/>
    <w:rsid w:val="009532B2"/>
    <w:rsid w:val="00955DC1"/>
    <w:rsid w:val="0097351B"/>
    <w:rsid w:val="00974798"/>
    <w:rsid w:val="00983916"/>
    <w:rsid w:val="00984E7D"/>
    <w:rsid w:val="009854E2"/>
    <w:rsid w:val="00986AFA"/>
    <w:rsid w:val="00995FDF"/>
    <w:rsid w:val="009A4204"/>
    <w:rsid w:val="009A6F62"/>
    <w:rsid w:val="009B7DFE"/>
    <w:rsid w:val="009C06B5"/>
    <w:rsid w:val="009C1220"/>
    <w:rsid w:val="009C2C93"/>
    <w:rsid w:val="009C5494"/>
    <w:rsid w:val="009C72BB"/>
    <w:rsid w:val="009F1800"/>
    <w:rsid w:val="009F5920"/>
    <w:rsid w:val="009F7A0D"/>
    <w:rsid w:val="00A07A8E"/>
    <w:rsid w:val="00A07FA6"/>
    <w:rsid w:val="00A13634"/>
    <w:rsid w:val="00A2192D"/>
    <w:rsid w:val="00A221E1"/>
    <w:rsid w:val="00A262B2"/>
    <w:rsid w:val="00A33804"/>
    <w:rsid w:val="00A363ED"/>
    <w:rsid w:val="00A374BC"/>
    <w:rsid w:val="00A40C1F"/>
    <w:rsid w:val="00A47B9C"/>
    <w:rsid w:val="00A50009"/>
    <w:rsid w:val="00A50CAC"/>
    <w:rsid w:val="00A52BFA"/>
    <w:rsid w:val="00A55D18"/>
    <w:rsid w:val="00A576B2"/>
    <w:rsid w:val="00A6077A"/>
    <w:rsid w:val="00A61739"/>
    <w:rsid w:val="00A65310"/>
    <w:rsid w:val="00A66741"/>
    <w:rsid w:val="00A6763D"/>
    <w:rsid w:val="00A74F07"/>
    <w:rsid w:val="00A8200B"/>
    <w:rsid w:val="00A8255E"/>
    <w:rsid w:val="00A85F1E"/>
    <w:rsid w:val="00A87182"/>
    <w:rsid w:val="00A9061A"/>
    <w:rsid w:val="00A919BB"/>
    <w:rsid w:val="00A9206B"/>
    <w:rsid w:val="00A9312C"/>
    <w:rsid w:val="00A93B0A"/>
    <w:rsid w:val="00A9667F"/>
    <w:rsid w:val="00AA11B9"/>
    <w:rsid w:val="00AA2266"/>
    <w:rsid w:val="00AA5EEB"/>
    <w:rsid w:val="00AB17F0"/>
    <w:rsid w:val="00AB2CF3"/>
    <w:rsid w:val="00AB2F59"/>
    <w:rsid w:val="00AB621F"/>
    <w:rsid w:val="00AC0BD3"/>
    <w:rsid w:val="00AC14E6"/>
    <w:rsid w:val="00AC1C30"/>
    <w:rsid w:val="00AC3C64"/>
    <w:rsid w:val="00AC49CB"/>
    <w:rsid w:val="00AC4FAE"/>
    <w:rsid w:val="00AC5F01"/>
    <w:rsid w:val="00AD2B07"/>
    <w:rsid w:val="00AD7061"/>
    <w:rsid w:val="00AE1DA8"/>
    <w:rsid w:val="00AE2294"/>
    <w:rsid w:val="00AE2D90"/>
    <w:rsid w:val="00AE3ACF"/>
    <w:rsid w:val="00AF0F8A"/>
    <w:rsid w:val="00AF405D"/>
    <w:rsid w:val="00B040C4"/>
    <w:rsid w:val="00B0626C"/>
    <w:rsid w:val="00B117B7"/>
    <w:rsid w:val="00B1222D"/>
    <w:rsid w:val="00B1429E"/>
    <w:rsid w:val="00B16DFD"/>
    <w:rsid w:val="00B22967"/>
    <w:rsid w:val="00B23D9C"/>
    <w:rsid w:val="00B33A67"/>
    <w:rsid w:val="00B3418D"/>
    <w:rsid w:val="00B36D0B"/>
    <w:rsid w:val="00B3758D"/>
    <w:rsid w:val="00B452F9"/>
    <w:rsid w:val="00B51285"/>
    <w:rsid w:val="00B531D8"/>
    <w:rsid w:val="00B54298"/>
    <w:rsid w:val="00B603BE"/>
    <w:rsid w:val="00B6080A"/>
    <w:rsid w:val="00B679EC"/>
    <w:rsid w:val="00B76981"/>
    <w:rsid w:val="00B83DCF"/>
    <w:rsid w:val="00B87B02"/>
    <w:rsid w:val="00B97928"/>
    <w:rsid w:val="00BC1CCA"/>
    <w:rsid w:val="00BC2FC0"/>
    <w:rsid w:val="00BC3029"/>
    <w:rsid w:val="00BC532D"/>
    <w:rsid w:val="00BD71BF"/>
    <w:rsid w:val="00BE42AC"/>
    <w:rsid w:val="00BE7281"/>
    <w:rsid w:val="00BF1BBD"/>
    <w:rsid w:val="00C02ED2"/>
    <w:rsid w:val="00C239E1"/>
    <w:rsid w:val="00C30B19"/>
    <w:rsid w:val="00C3181A"/>
    <w:rsid w:val="00C357F7"/>
    <w:rsid w:val="00C43BBD"/>
    <w:rsid w:val="00C45896"/>
    <w:rsid w:val="00C51DA3"/>
    <w:rsid w:val="00C52FB5"/>
    <w:rsid w:val="00C53A1D"/>
    <w:rsid w:val="00C5440E"/>
    <w:rsid w:val="00C547E1"/>
    <w:rsid w:val="00C55278"/>
    <w:rsid w:val="00C60046"/>
    <w:rsid w:val="00C624DC"/>
    <w:rsid w:val="00C63FE5"/>
    <w:rsid w:val="00C642B2"/>
    <w:rsid w:val="00C7009A"/>
    <w:rsid w:val="00C71EF7"/>
    <w:rsid w:val="00C72EA3"/>
    <w:rsid w:val="00C73FAC"/>
    <w:rsid w:val="00C83A4B"/>
    <w:rsid w:val="00C84A64"/>
    <w:rsid w:val="00C949BC"/>
    <w:rsid w:val="00CA03F0"/>
    <w:rsid w:val="00CA0E09"/>
    <w:rsid w:val="00CA269A"/>
    <w:rsid w:val="00CA3F8A"/>
    <w:rsid w:val="00CB7BC6"/>
    <w:rsid w:val="00CC0596"/>
    <w:rsid w:val="00CC423C"/>
    <w:rsid w:val="00CC4BD9"/>
    <w:rsid w:val="00CD13A8"/>
    <w:rsid w:val="00CD1D66"/>
    <w:rsid w:val="00CD5D29"/>
    <w:rsid w:val="00CD6444"/>
    <w:rsid w:val="00CD7DF9"/>
    <w:rsid w:val="00CE7D6F"/>
    <w:rsid w:val="00CF068B"/>
    <w:rsid w:val="00CF394B"/>
    <w:rsid w:val="00CF449C"/>
    <w:rsid w:val="00CF6D90"/>
    <w:rsid w:val="00CF744F"/>
    <w:rsid w:val="00D00E81"/>
    <w:rsid w:val="00D03D21"/>
    <w:rsid w:val="00D03F58"/>
    <w:rsid w:val="00D06536"/>
    <w:rsid w:val="00D100AA"/>
    <w:rsid w:val="00D10748"/>
    <w:rsid w:val="00D142FB"/>
    <w:rsid w:val="00D14752"/>
    <w:rsid w:val="00D16747"/>
    <w:rsid w:val="00D17132"/>
    <w:rsid w:val="00D2128A"/>
    <w:rsid w:val="00D3218B"/>
    <w:rsid w:val="00D32603"/>
    <w:rsid w:val="00D327C6"/>
    <w:rsid w:val="00D33BAA"/>
    <w:rsid w:val="00D37268"/>
    <w:rsid w:val="00D37C8C"/>
    <w:rsid w:val="00D4476F"/>
    <w:rsid w:val="00D55DAB"/>
    <w:rsid w:val="00D55F51"/>
    <w:rsid w:val="00D57EF2"/>
    <w:rsid w:val="00D610E6"/>
    <w:rsid w:val="00D6529A"/>
    <w:rsid w:val="00D65A66"/>
    <w:rsid w:val="00D815A8"/>
    <w:rsid w:val="00D95D67"/>
    <w:rsid w:val="00DA3A79"/>
    <w:rsid w:val="00DA3C7A"/>
    <w:rsid w:val="00DA5550"/>
    <w:rsid w:val="00DB1766"/>
    <w:rsid w:val="00DB201A"/>
    <w:rsid w:val="00DB36AC"/>
    <w:rsid w:val="00DB73E8"/>
    <w:rsid w:val="00DC4218"/>
    <w:rsid w:val="00DD1F3A"/>
    <w:rsid w:val="00DD4909"/>
    <w:rsid w:val="00DD74F7"/>
    <w:rsid w:val="00DF6638"/>
    <w:rsid w:val="00DF74EC"/>
    <w:rsid w:val="00E00DE0"/>
    <w:rsid w:val="00E07B66"/>
    <w:rsid w:val="00E23E4D"/>
    <w:rsid w:val="00E25804"/>
    <w:rsid w:val="00E259F7"/>
    <w:rsid w:val="00E266FC"/>
    <w:rsid w:val="00E30D39"/>
    <w:rsid w:val="00E3338A"/>
    <w:rsid w:val="00E3617B"/>
    <w:rsid w:val="00E366FB"/>
    <w:rsid w:val="00E41A0B"/>
    <w:rsid w:val="00E42B39"/>
    <w:rsid w:val="00E46ACA"/>
    <w:rsid w:val="00E52327"/>
    <w:rsid w:val="00E53183"/>
    <w:rsid w:val="00E564AF"/>
    <w:rsid w:val="00E57DBB"/>
    <w:rsid w:val="00E60254"/>
    <w:rsid w:val="00E63153"/>
    <w:rsid w:val="00E705CD"/>
    <w:rsid w:val="00E7090D"/>
    <w:rsid w:val="00E751A7"/>
    <w:rsid w:val="00E76C13"/>
    <w:rsid w:val="00E77951"/>
    <w:rsid w:val="00E80344"/>
    <w:rsid w:val="00E823BD"/>
    <w:rsid w:val="00E82488"/>
    <w:rsid w:val="00E82879"/>
    <w:rsid w:val="00E86820"/>
    <w:rsid w:val="00E86BBA"/>
    <w:rsid w:val="00E87698"/>
    <w:rsid w:val="00E91938"/>
    <w:rsid w:val="00E95040"/>
    <w:rsid w:val="00E95647"/>
    <w:rsid w:val="00E957D1"/>
    <w:rsid w:val="00E96FED"/>
    <w:rsid w:val="00EA2ED4"/>
    <w:rsid w:val="00EA3463"/>
    <w:rsid w:val="00EA36BE"/>
    <w:rsid w:val="00EA5373"/>
    <w:rsid w:val="00EB171C"/>
    <w:rsid w:val="00EC336A"/>
    <w:rsid w:val="00EC54AD"/>
    <w:rsid w:val="00EC57FE"/>
    <w:rsid w:val="00EC5F8C"/>
    <w:rsid w:val="00ED01ED"/>
    <w:rsid w:val="00ED12B5"/>
    <w:rsid w:val="00ED24DA"/>
    <w:rsid w:val="00ED41B2"/>
    <w:rsid w:val="00ED5A00"/>
    <w:rsid w:val="00EE207F"/>
    <w:rsid w:val="00EF0ABC"/>
    <w:rsid w:val="00EF5329"/>
    <w:rsid w:val="00EF584F"/>
    <w:rsid w:val="00EF675A"/>
    <w:rsid w:val="00F01FF6"/>
    <w:rsid w:val="00F02ABC"/>
    <w:rsid w:val="00F03869"/>
    <w:rsid w:val="00F05139"/>
    <w:rsid w:val="00F05C3B"/>
    <w:rsid w:val="00F05CA3"/>
    <w:rsid w:val="00F100E3"/>
    <w:rsid w:val="00F10A5E"/>
    <w:rsid w:val="00F11476"/>
    <w:rsid w:val="00F12F11"/>
    <w:rsid w:val="00F261EB"/>
    <w:rsid w:val="00F32CE0"/>
    <w:rsid w:val="00F35AB0"/>
    <w:rsid w:val="00F40119"/>
    <w:rsid w:val="00F632C6"/>
    <w:rsid w:val="00F71427"/>
    <w:rsid w:val="00F74035"/>
    <w:rsid w:val="00F74E9E"/>
    <w:rsid w:val="00F74FC2"/>
    <w:rsid w:val="00F829DE"/>
    <w:rsid w:val="00F86C7F"/>
    <w:rsid w:val="00F94FFC"/>
    <w:rsid w:val="00F95652"/>
    <w:rsid w:val="00FB7EAB"/>
    <w:rsid w:val="00FC763C"/>
    <w:rsid w:val="00FD0416"/>
    <w:rsid w:val="00FD2EB6"/>
    <w:rsid w:val="00FD61CA"/>
    <w:rsid w:val="00FE6CA5"/>
    <w:rsid w:val="00FF11B5"/>
    <w:rsid w:val="00FF6AD8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39" w:unhideWhenUsed="0"/>
    <w:lsdException w:name="toc 5" w:semiHidden="0" w:uiPriority="0" w:unhideWhenUsed="0"/>
    <w:lsdException w:name="toc 6" w:semiHidden="0" w:uiPriority="39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1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1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11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nhideWhenUsed="0"/>
    <w:lsdException w:name="Table Grid" w:semiHidden="0" w:uiPriority="59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E41A0B"/>
    <w:pPr>
      <w:spacing w:after="200" w:line="276" w:lineRule="auto"/>
    </w:pPr>
    <w:rPr>
      <w:rFonts w:ascii="Segoe UI" w:eastAsia="Calibri" w:hAnsi="Segoe UI"/>
      <w:color w:val="595959"/>
      <w:szCs w:val="22"/>
      <w:lang w:val="en-US" w:eastAsia="en-US" w:bidi="ar-SA"/>
    </w:rPr>
  </w:style>
  <w:style w:type="paragraph" w:styleId="Heading1">
    <w:name w:val="heading 1"/>
    <w:next w:val="Normal"/>
    <w:link w:val="Ttulo1Car"/>
    <w:uiPriority w:val="9"/>
    <w:qFormat/>
    <w:rsid w:val="00E41A0B"/>
    <w:pPr>
      <w:autoSpaceDE w:val="0"/>
      <w:autoSpaceDN w:val="0"/>
      <w:adjustRightInd w:val="0"/>
      <w:spacing w:after="80"/>
      <w:outlineLvl w:val="0"/>
    </w:pPr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Heading2">
    <w:name w:val="heading 2"/>
    <w:basedOn w:val="Normal"/>
    <w:next w:val="Normal"/>
    <w:link w:val="Ttulo2Car"/>
    <w:uiPriority w:val="9"/>
    <w:qFormat/>
    <w:rsid w:val="00E41A0B"/>
    <w:pPr>
      <w:autoSpaceDE w:val="0"/>
      <w:autoSpaceDN w:val="0"/>
      <w:adjustRightInd w:val="0"/>
      <w:spacing w:line="240" w:lineRule="auto"/>
      <w:outlineLvl w:val="1"/>
    </w:pPr>
    <w:rPr>
      <w:rFonts w:ascii="Neo Sans Std" w:eastAsia="Times New Roman" w:hAnsi="Neo Sans Std" w:cs="Arial"/>
      <w:color w:val="2E5E88"/>
      <w:sz w:val="34"/>
      <w:szCs w:val="32"/>
    </w:rPr>
  </w:style>
  <w:style w:type="paragraph" w:styleId="Heading3">
    <w:name w:val="heading 3"/>
    <w:basedOn w:val="Normal"/>
    <w:next w:val="Normal"/>
    <w:link w:val="Ttulo3Car"/>
    <w:uiPriority w:val="9"/>
    <w:qFormat/>
    <w:rsid w:val="00E41A0B"/>
    <w:pPr>
      <w:keepNext/>
      <w:spacing w:before="240" w:after="240" w:line="260" w:lineRule="exact"/>
      <w:outlineLvl w:val="2"/>
    </w:pPr>
    <w:rPr>
      <w:rFonts w:ascii="Neo Sans Std" w:eastAsia="Times New Roman" w:hAnsi="Neo Sans Std" w:cs="Arial"/>
      <w:bCs/>
      <w:color w:val="548DD4"/>
      <w:sz w:val="26"/>
      <w:szCs w:val="26"/>
    </w:rPr>
  </w:style>
  <w:style w:type="paragraph" w:styleId="Heading4">
    <w:name w:val="heading 4"/>
    <w:next w:val="Normal"/>
    <w:link w:val="Ttulo4Car"/>
    <w:uiPriority w:val="9"/>
    <w:unhideWhenUsed/>
    <w:qFormat/>
    <w:rsid w:val="00E41A0B"/>
    <w:pPr>
      <w:keepLines/>
      <w:spacing w:before="200" w:after="200"/>
      <w:outlineLvl w:val="3"/>
    </w:pPr>
    <w:rPr>
      <w:rFonts w:ascii="Aller" w:hAnsi="Aller"/>
      <w:iCs/>
      <w:color w:val="7F7F7F"/>
      <w:sz w:val="24"/>
      <w:szCs w:val="26"/>
      <w:lang w:val="en-US" w:eastAsia="en-US" w:bidi="ar-SA"/>
    </w:rPr>
  </w:style>
  <w:style w:type="paragraph" w:styleId="Heading5">
    <w:name w:val="heading 5"/>
    <w:next w:val="Normal"/>
    <w:link w:val="Ttulo5Car"/>
    <w:uiPriority w:val="9"/>
    <w:unhideWhenUsed/>
    <w:qFormat/>
    <w:rsid w:val="00E41A0B"/>
    <w:pPr>
      <w:keepLines/>
      <w:spacing w:before="200" w:after="200"/>
      <w:outlineLvl w:val="4"/>
    </w:pPr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styleId="Heading6">
    <w:name w:val="heading 6"/>
    <w:next w:val="Normal"/>
    <w:link w:val="Ttulo6Car"/>
    <w:uiPriority w:val="9"/>
    <w:unhideWhenUsed/>
    <w:qFormat/>
    <w:rsid w:val="00E41A0B"/>
    <w:pPr>
      <w:keepLines/>
      <w:numPr>
        <w:ilvl w:val="5"/>
        <w:numId w:val="4"/>
      </w:numPr>
      <w:spacing w:before="200" w:after="200"/>
      <w:outlineLvl w:val="5"/>
    </w:pPr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styleId="Heading7">
    <w:name w:val="heading 7"/>
    <w:basedOn w:val="Normal"/>
    <w:next w:val="Normal"/>
    <w:qFormat/>
    <w:rsid w:val="00885706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Heading8">
    <w:name w:val="heading 8"/>
    <w:basedOn w:val="Normal"/>
    <w:next w:val="Normal"/>
    <w:qFormat/>
    <w:rsid w:val="00885706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885706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unhideWhenUsed/>
    <w:rsid w:val="00E41A0B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E41A0B"/>
  </w:style>
  <w:style w:type="character" w:customStyle="1" w:styleId="Ttulo1Car">
    <w:name w:val="Título 1 Car"/>
    <w:link w:val="Heading1"/>
    <w:uiPriority w:val="9"/>
    <w:rsid w:val="00E41A0B"/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TOC1">
    <w:name w:val="toc 1"/>
    <w:basedOn w:val="ModelerNormal"/>
    <w:next w:val="ModelerNormal"/>
    <w:autoRedefine/>
    <w:rsid w:val="00E41A0B"/>
    <w:pPr>
      <w:spacing w:before="120" w:after="0" w:line="240" w:lineRule="auto"/>
    </w:pPr>
    <w:rPr>
      <w:rFonts w:eastAsia="Times New Roman"/>
      <w:caps/>
      <w:color w:val="auto"/>
      <w:szCs w:val="20"/>
      <w:lang w:val="es-ES_tradnl" w:eastAsia="es-ES"/>
    </w:rPr>
  </w:style>
  <w:style w:type="paragraph" w:styleId="TOC2">
    <w:name w:val="toc 2"/>
    <w:basedOn w:val="ModelerNormal"/>
    <w:next w:val="ModelerNormal"/>
    <w:autoRedefine/>
    <w:rsid w:val="00E41A0B"/>
    <w:pPr>
      <w:tabs>
        <w:tab w:val="right" w:leader="dot" w:pos="8828"/>
      </w:tabs>
      <w:spacing w:after="0" w:line="240" w:lineRule="auto"/>
      <w:ind w:left="198"/>
      <w:jc w:val="both"/>
    </w:pPr>
    <w:rPr>
      <w:rFonts w:eastAsia="Times New Roman"/>
      <w:smallCaps/>
      <w:color w:val="auto"/>
      <w:szCs w:val="20"/>
      <w:lang w:eastAsia="es-ES"/>
    </w:rPr>
  </w:style>
  <w:style w:type="paragraph" w:styleId="TOC3">
    <w:name w:val="toc 3"/>
    <w:basedOn w:val="ModelerNormal"/>
    <w:next w:val="ModelerNormal"/>
    <w:autoRedefine/>
    <w:rsid w:val="00E41A0B"/>
    <w:pPr>
      <w:tabs>
        <w:tab w:val="left" w:pos="1321"/>
        <w:tab w:val="right" w:leader="dot" w:pos="8828"/>
      </w:tabs>
      <w:spacing w:after="0" w:line="240" w:lineRule="auto"/>
      <w:ind w:left="403"/>
      <w:jc w:val="both"/>
    </w:pPr>
    <w:rPr>
      <w:rFonts w:eastAsia="Times New Roman"/>
      <w:noProof/>
      <w:color w:val="000000"/>
      <w:szCs w:val="20"/>
      <w:lang w:val="es-ES" w:eastAsia="es-ES"/>
    </w:rPr>
  </w:style>
  <w:style w:type="character" w:styleId="Hyperlink">
    <w:name w:val="Hyperlink"/>
    <w:uiPriority w:val="99"/>
    <w:unhideWhenUsed/>
    <w:rsid w:val="00E41A0B"/>
    <w:rPr>
      <w:rFonts w:ascii="Segoe UI" w:hAnsi="Segoe UI"/>
      <w:color w:val="0000FF"/>
      <w:u w:val="single"/>
    </w:rPr>
  </w:style>
  <w:style w:type="paragraph" w:styleId="Header">
    <w:name w:val="header"/>
    <w:basedOn w:val="Normal"/>
    <w:link w:val="EncabezadoCar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paragraph" w:styleId="Footer">
    <w:name w:val="footer"/>
    <w:basedOn w:val="Normal"/>
    <w:link w:val="PiedepginaCar"/>
    <w:uiPriority w:val="99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character" w:styleId="PageNumber">
    <w:name w:val="page number"/>
    <w:basedOn w:val="DefaultParagraphFont"/>
    <w:rsid w:val="00A55D18"/>
  </w:style>
  <w:style w:type="paragraph" w:customStyle="1" w:styleId="Titular">
    <w:name w:val="Titular"/>
    <w:basedOn w:val="Heading1"/>
    <w:link w:val="TitularChar"/>
    <w:semiHidden/>
    <w:rsid w:val="00A55D18"/>
    <w:rPr>
      <w:color w:val="333333"/>
    </w:rPr>
  </w:style>
  <w:style w:type="character" w:customStyle="1" w:styleId="TitularChar">
    <w:name w:val="Titular Char"/>
    <w:link w:val="Titular"/>
    <w:semiHidden/>
    <w:rsid w:val="00A55D18"/>
    <w:rPr>
      <w:rFonts w:ascii="Neo Sans Std" w:hAnsi="Neo Sans Std" w:cs="Arial"/>
      <w:color w:val="333333"/>
      <w:sz w:val="44"/>
      <w:szCs w:val="44"/>
      <w:lang w:val="en-US" w:eastAsia="en-US" w:bidi="ar-SA"/>
    </w:rPr>
  </w:style>
  <w:style w:type="paragraph" w:styleId="BodyText">
    <w:name w:val="Body Text"/>
    <w:basedOn w:val="Normal"/>
    <w:link w:val="TextoindependienteCar"/>
    <w:rsid w:val="00E41A0B"/>
    <w:pPr>
      <w:spacing w:line="240" w:lineRule="auto"/>
      <w:ind w:left="634"/>
    </w:pPr>
    <w:rPr>
      <w:rFonts w:eastAsia="Times New Roman"/>
      <w:szCs w:val="20"/>
    </w:rPr>
  </w:style>
  <w:style w:type="table" w:styleId="TableGrid">
    <w:name w:val="Table Grid"/>
    <w:basedOn w:val="TableNormal"/>
    <w:uiPriority w:val="59"/>
    <w:rsid w:val="00E41A0B"/>
    <w:rPr>
      <w:rFonts w:ascii="Century Gothic" w:hAnsi="Century Gothic"/>
    </w:rPr>
    <w:tblPr>
      <w:tblInd w:w="1008" w:type="dxa"/>
      <w:tblBorders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insideH w:val="single" w:sz="4" w:space="0" w:color="C0C0C0"/>
        <w:insideV w:val="single" w:sz="4" w:space="0" w:color="C0C0C0"/>
      </w:tblBorders>
    </w:tblPr>
    <w:tcPr>
      <w:shd w:val="clear" w:color="auto" w:fill="auto"/>
    </w:tcPr>
  </w:style>
  <w:style w:type="paragraph" w:styleId="FootnoteText">
    <w:name w:val="footnote text"/>
    <w:basedOn w:val="Normal"/>
    <w:semiHidden/>
    <w:rsid w:val="00AE3ACF"/>
  </w:style>
  <w:style w:type="character" w:styleId="FootnoteReference">
    <w:name w:val="footnote reference"/>
    <w:semiHidden/>
    <w:rsid w:val="00AE3ACF"/>
    <w:rPr>
      <w:vertAlign w:val="superscript"/>
    </w:rPr>
  </w:style>
  <w:style w:type="paragraph" w:customStyle="1" w:styleId="StyleTitularBold">
    <w:name w:val="Style Titular + Bold"/>
    <w:basedOn w:val="Titular"/>
    <w:autoRedefine/>
    <w:rsid w:val="008C2CEA"/>
    <w:rPr>
      <w:b/>
      <w:bCs/>
      <w:iCs/>
      <w:szCs w:val="40"/>
    </w:rPr>
  </w:style>
  <w:style w:type="paragraph" w:customStyle="1" w:styleId="Aviso">
    <w:name w:val="Aviso"/>
    <w:basedOn w:val="Normal"/>
    <w:autoRedefine/>
    <w:rsid w:val="0033264A"/>
    <w:pPr>
      <w:spacing w:before="0"/>
      <w:jc w:val="left"/>
    </w:pPr>
    <w:rPr>
      <w:b/>
      <w:sz w:val="15"/>
      <w:szCs w:val="15"/>
      <w:lang w:val="es-ES_tradnl"/>
    </w:rPr>
  </w:style>
  <w:style w:type="paragraph" w:customStyle="1" w:styleId="TitularInicio">
    <w:name w:val="TitularInicio"/>
    <w:basedOn w:val="StyleTitularBold"/>
    <w:autoRedefine/>
    <w:rsid w:val="002732D9"/>
    <w:pPr>
      <w:numPr>
        <w:ilvl w:val="0"/>
        <w:numId w:val="0"/>
      </w:numPr>
    </w:pPr>
  </w:style>
  <w:style w:type="numbering" w:customStyle="1" w:styleId="Lista1">
    <w:name w:val="Lista1"/>
    <w:basedOn w:val="NoList"/>
    <w:rsid w:val="007741DF"/>
    <w:pPr>
      <w:numPr>
        <w:numId w:val="1"/>
      </w:numPr>
    </w:pPr>
  </w:style>
  <w:style w:type="paragraph" w:customStyle="1" w:styleId="Normal4">
    <w:name w:val="Normal4"/>
    <w:basedOn w:val="Normal"/>
    <w:rsid w:val="00820B48"/>
    <w:pPr>
      <w:ind w:left="504"/>
    </w:pPr>
    <w:rPr>
      <w:lang w:val="es-ES_tradnl"/>
    </w:rPr>
  </w:style>
  <w:style w:type="paragraph" w:styleId="TOC5">
    <w:name w:val="toc 5"/>
    <w:basedOn w:val="ModelerNormal"/>
    <w:next w:val="ModelerNormal"/>
    <w:autoRedefine/>
    <w:rsid w:val="00E41A0B"/>
    <w:pPr>
      <w:spacing w:before="120" w:after="0" w:line="240" w:lineRule="auto"/>
      <w:ind w:left="800"/>
      <w:jc w:val="both"/>
    </w:pPr>
    <w:rPr>
      <w:rFonts w:eastAsia="Times New Roman"/>
      <w:color w:val="auto"/>
      <w:szCs w:val="20"/>
      <w:lang w:eastAsia="es-ES"/>
    </w:rPr>
  </w:style>
  <w:style w:type="paragraph" w:customStyle="1" w:styleId="Normal5">
    <w:name w:val="Normal5"/>
    <w:basedOn w:val="Normal"/>
    <w:rsid w:val="000774A1"/>
    <w:pPr>
      <w:ind w:left="1440"/>
    </w:pPr>
  </w:style>
  <w:style w:type="paragraph" w:customStyle="1" w:styleId="bizNormal">
    <w:name w:val="bizNormal"/>
    <w:basedOn w:val="ModelerNormal"/>
    <w:next w:val="ModelerNormal"/>
    <w:qFormat/>
    <w:rsid w:val="00E41A0B"/>
  </w:style>
  <w:style w:type="paragraph" w:customStyle="1" w:styleId="bizHeading1">
    <w:name w:val="bizHeading1"/>
    <w:basedOn w:val="Heading1"/>
    <w:next w:val="ModelerNormal"/>
    <w:qFormat/>
    <w:rsid w:val="004C30E2"/>
    <w:pPr>
      <w:keepNext/>
      <w:keepLines/>
      <w:numPr>
        <w:ilvl w:val="0"/>
        <w:numId w:val="4"/>
      </w:numPr>
      <w:tabs>
        <w:tab w:val="clear" w:pos="936"/>
      </w:tabs>
      <w:autoSpaceDE/>
      <w:autoSpaceDN/>
      <w:adjustRightInd/>
      <w:spacing w:before="400" w:after="0" w:line="269" w:lineRule="auto"/>
      <w:ind w:left="0" w:firstLine="0"/>
    </w:pPr>
    <w:rPr>
      <w:rFonts w:ascii="Segoe UI Semibold" w:eastAsia="Times New Roman" w:hAnsi="Segoe UI Semibold" w:cs="Times New Roman"/>
      <w:color w:val="30646E"/>
      <w:sz w:val="36"/>
      <w:szCs w:val="32"/>
      <w:lang w:val="en-AU"/>
    </w:rPr>
  </w:style>
  <w:style w:type="paragraph" w:customStyle="1" w:styleId="bizHeading2">
    <w:name w:val="bizHeading2"/>
    <w:basedOn w:val="Heading2"/>
    <w:next w:val="ModelerNormal"/>
    <w:qFormat/>
    <w:rsid w:val="004C30E2"/>
    <w:pPr>
      <w:keepNext/>
      <w:keepLines/>
      <w:numPr>
        <w:ilvl w:val="1"/>
        <w:numId w:val="4"/>
      </w:numPr>
      <w:tabs>
        <w:tab w:val="clear" w:pos="1080"/>
      </w:tabs>
      <w:autoSpaceDE/>
      <w:autoSpaceDN/>
      <w:adjustRightInd/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color w:val="009485"/>
      <w:sz w:val="32"/>
      <w:szCs w:val="26"/>
      <w:lang w:val="en-AU"/>
    </w:rPr>
  </w:style>
  <w:style w:type="paragraph" w:customStyle="1" w:styleId="bizHeading3">
    <w:name w:val="bizHeading3"/>
    <w:basedOn w:val="Heading3"/>
    <w:next w:val="ModelerNormal"/>
    <w:qFormat/>
    <w:rsid w:val="004C30E2"/>
    <w:pPr>
      <w:keepLines/>
      <w:numPr>
        <w:ilvl w:val="2"/>
        <w:numId w:val="4"/>
      </w:numPr>
      <w:tabs>
        <w:tab w:val="clear" w:pos="1224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212D34"/>
      <w:sz w:val="28"/>
      <w:szCs w:val="28"/>
      <w:lang w:val="en-AU"/>
    </w:rPr>
  </w:style>
  <w:style w:type="paragraph" w:customStyle="1" w:styleId="bizHeading4">
    <w:name w:val="bizHeading4"/>
    <w:basedOn w:val="Heading4"/>
    <w:next w:val="ModelerNormal"/>
    <w:qFormat/>
    <w:rsid w:val="004C30E2"/>
    <w:pPr>
      <w:keepNext/>
      <w:numPr>
        <w:ilvl w:val="3"/>
        <w:numId w:val="4"/>
      </w:numPr>
      <w:tabs>
        <w:tab w:val="clear" w:pos="1368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i/>
      <w:color w:val="006E63"/>
      <w:sz w:val="28"/>
      <w:szCs w:val="24"/>
      <w:lang w:val="en-AU"/>
    </w:rPr>
  </w:style>
  <w:style w:type="paragraph" w:customStyle="1" w:styleId="bizHeading5">
    <w:name w:val="bizHeading5"/>
    <w:basedOn w:val="Heading5"/>
    <w:next w:val="ModelerNormal"/>
    <w:qFormat/>
    <w:rsid w:val="004C30E2"/>
    <w:pPr>
      <w:keepNext/>
      <w:numPr>
        <w:ilvl w:val="4"/>
        <w:numId w:val="4"/>
      </w:numPr>
      <w:tabs>
        <w:tab w:val="clear" w:pos="1512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5F6E7C"/>
      <w:sz w:val="26"/>
      <w:szCs w:val="20"/>
      <w:lang w:val="en-AU"/>
    </w:rPr>
  </w:style>
  <w:style w:type="paragraph" w:styleId="BalloonText">
    <w:name w:val="Balloon Text"/>
    <w:basedOn w:val="Normal"/>
    <w:link w:val="TextodegloboCar"/>
    <w:uiPriority w:val="99"/>
    <w:unhideWhenUsed/>
    <w:rsid w:val="00E41A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BalloonText"/>
    <w:uiPriority w:val="99"/>
    <w:rsid w:val="00E41A0B"/>
    <w:rPr>
      <w:rFonts w:ascii="Tahoma" w:eastAsia="Calibri" w:hAnsi="Tahoma" w:cs="Tahoma"/>
      <w:color w:val="595959"/>
      <w:sz w:val="16"/>
      <w:szCs w:val="16"/>
      <w:lang w:val="en-US" w:eastAsia="en-US" w:bidi="ar-SA"/>
    </w:rPr>
  </w:style>
  <w:style w:type="paragraph" w:customStyle="1" w:styleId="ModelerNormal">
    <w:name w:val="ModelerNormal"/>
    <w:basedOn w:val="Normal"/>
    <w:link w:val="ModelerNormalChar"/>
    <w:qFormat/>
    <w:rsid w:val="00E41A0B"/>
  </w:style>
  <w:style w:type="paragraph" w:customStyle="1" w:styleId="bizHeadingBAS3">
    <w:name w:val="bizHeadingBAS3"/>
    <w:basedOn w:val="bizHeading3"/>
    <w:next w:val="Normal"/>
    <w:rsid w:val="00F11476"/>
    <w:pPr>
      <w:pBdr>
        <w:top w:val="none" w:sz="0" w:space="0" w:color="auto"/>
      </w:pBdr>
    </w:pPr>
    <w:rPr>
      <w:caps/>
      <w:sz w:val="20"/>
    </w:rPr>
  </w:style>
  <w:style w:type="paragraph" w:customStyle="1" w:styleId="bizHeadingBAS2">
    <w:name w:val="bizHeadingBAS2"/>
    <w:basedOn w:val="bizHeading2"/>
    <w:next w:val="Normal"/>
    <w:rsid w:val="00BF1BBD"/>
    <w:rPr>
      <w:sz w:val="24"/>
    </w:rPr>
  </w:style>
  <w:style w:type="paragraph" w:customStyle="1" w:styleId="bizHeadingBAS1">
    <w:name w:val="bizHeadingBAS1"/>
    <w:basedOn w:val="bizHeading1"/>
    <w:next w:val="Normal"/>
    <w:qFormat/>
    <w:rsid w:val="004F1444"/>
    <w:pPr>
      <w:numPr>
        <w:ilvl w:val="0"/>
        <w:numId w:val="2"/>
      </w:numPr>
    </w:pPr>
  </w:style>
  <w:style w:type="character" w:customStyle="1" w:styleId="EncabezadoCar">
    <w:name w:val="Encabezado Car"/>
    <w:link w:val="Header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Ttulo2Car">
    <w:name w:val="Título 2 Car"/>
    <w:link w:val="Heading2"/>
    <w:uiPriority w:val="9"/>
    <w:rsid w:val="00E41A0B"/>
    <w:rPr>
      <w:rFonts w:ascii="Neo Sans Std" w:hAnsi="Neo Sans Std" w:cs="Arial"/>
      <w:color w:val="2E5E88"/>
      <w:sz w:val="34"/>
      <w:szCs w:val="32"/>
      <w:lang w:val="en-US" w:eastAsia="en-US" w:bidi="ar-SA"/>
    </w:rPr>
  </w:style>
  <w:style w:type="character" w:customStyle="1" w:styleId="TextoindependienteCar">
    <w:name w:val="Texto independiente Car"/>
    <w:link w:val="BodyText"/>
    <w:rsid w:val="00E41A0B"/>
    <w:rPr>
      <w:rFonts w:ascii="Segoe UI" w:hAnsi="Segoe UI"/>
      <w:color w:val="595959"/>
      <w:lang w:val="en-US" w:eastAsia="en-US" w:bidi="ar-SA"/>
    </w:rPr>
  </w:style>
  <w:style w:type="paragraph" w:customStyle="1" w:styleId="bizHeadingBAS11">
    <w:name w:val="bizHeadingBAS1_1"/>
    <w:basedOn w:val="bizHeadingBAS1"/>
    <w:next w:val="Normal"/>
    <w:qFormat/>
    <w:rsid w:val="004F1444"/>
    <w:pPr>
      <w:numPr>
        <w:ilvl w:val="0"/>
        <w:numId w:val="0"/>
      </w:numPr>
    </w:pPr>
  </w:style>
  <w:style w:type="character" w:customStyle="1" w:styleId="Ttulo3Car">
    <w:name w:val="Título 3 Car"/>
    <w:link w:val="Heading3"/>
    <w:uiPriority w:val="9"/>
    <w:rsid w:val="00E41A0B"/>
    <w:rPr>
      <w:rFonts w:ascii="Neo Sans Std" w:hAnsi="Neo Sans Std" w:cs="Arial"/>
      <w:bCs/>
      <w:color w:val="548DD4"/>
      <w:sz w:val="26"/>
      <w:szCs w:val="26"/>
      <w:lang w:val="en-US" w:eastAsia="en-US" w:bidi="ar-SA"/>
    </w:rPr>
  </w:style>
  <w:style w:type="character" w:customStyle="1" w:styleId="Ttulo4Car">
    <w:name w:val="Título 4 Car"/>
    <w:link w:val="Heading4"/>
    <w:uiPriority w:val="9"/>
    <w:rsid w:val="00E41A0B"/>
    <w:rPr>
      <w:rFonts w:ascii="Aller" w:hAnsi="Aller"/>
      <w:iCs/>
      <w:color w:val="7F7F7F"/>
      <w:sz w:val="24"/>
      <w:szCs w:val="26"/>
      <w:lang w:val="en-US" w:eastAsia="en-US" w:bidi="ar-SA"/>
    </w:rPr>
  </w:style>
  <w:style w:type="character" w:customStyle="1" w:styleId="Ttulo5Car">
    <w:name w:val="Título 5 Car"/>
    <w:link w:val="Heading5"/>
    <w:uiPriority w:val="9"/>
    <w:rsid w:val="00E41A0B"/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customStyle="1" w:styleId="Confidential">
    <w:name w:val="Confidential"/>
    <w:basedOn w:val="Normal"/>
    <w:qFormat/>
    <w:rsid w:val="00E41A0B"/>
    <w:pPr>
      <w:spacing w:after="0" w:line="240" w:lineRule="auto"/>
    </w:pPr>
    <w:rPr>
      <w:rFonts w:eastAsia="Times New Roman"/>
      <w:i/>
      <w:color w:val="808080"/>
      <w:szCs w:val="20"/>
    </w:rPr>
  </w:style>
  <w:style w:type="character" w:styleId="Emphasis">
    <w:name w:val="Emphasis"/>
    <w:qFormat/>
    <w:rsid w:val="00E41A0B"/>
    <w:rPr>
      <w:rFonts w:ascii="Segoe UI" w:hAnsi="Segoe UI"/>
      <w:b/>
      <w:i/>
      <w:iCs/>
      <w:color w:val="404040"/>
    </w:rPr>
  </w:style>
  <w:style w:type="character" w:customStyle="1" w:styleId="PiedepginaCar">
    <w:name w:val="Pie de página Car"/>
    <w:link w:val="Footer"/>
    <w:uiPriority w:val="99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paragraph" w:customStyle="1" w:styleId="frontpage">
    <w:name w:val="front page"/>
    <w:basedOn w:val="Normal"/>
    <w:qFormat/>
    <w:rsid w:val="00E41A0B"/>
    <w:pPr>
      <w:spacing w:after="0" w:line="240" w:lineRule="auto"/>
      <w:ind w:left="634"/>
    </w:pPr>
    <w:rPr>
      <w:rFonts w:eastAsia="Times New Roman"/>
      <w:noProof/>
      <w:szCs w:val="20"/>
    </w:rPr>
  </w:style>
  <w:style w:type="character" w:customStyle="1" w:styleId="Ttulo6Car">
    <w:name w:val="Título 6 Car"/>
    <w:link w:val="Heading6"/>
    <w:uiPriority w:val="9"/>
    <w:rsid w:val="00E41A0B"/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customStyle="1" w:styleId="heading40">
    <w:name w:val="heading4"/>
    <w:basedOn w:val="Heading3"/>
    <w:rsid w:val="00E41A0B"/>
    <w:pPr>
      <w:numPr>
        <w:ilvl w:val="0"/>
        <w:numId w:val="0"/>
      </w:numPr>
      <w:spacing w:after="0" w:line="240" w:lineRule="auto"/>
    </w:pPr>
    <w:rPr>
      <w:color w:val="404040"/>
      <w:szCs w:val="34"/>
    </w:rPr>
  </w:style>
  <w:style w:type="paragraph" w:customStyle="1" w:styleId="images">
    <w:name w:val="images"/>
    <w:basedOn w:val="Normal"/>
    <w:qFormat/>
    <w:rsid w:val="00E41A0B"/>
    <w:pPr>
      <w:spacing w:after="0"/>
    </w:pPr>
    <w:rPr>
      <w:noProof/>
    </w:rPr>
  </w:style>
  <w:style w:type="paragraph" w:styleId="ListBullet">
    <w:name w:val="List Bullet"/>
    <w:basedOn w:val="Normal"/>
    <w:rsid w:val="00E41A0B"/>
    <w:pPr>
      <w:numPr>
        <w:ilvl w:val="0"/>
        <w:numId w:val="3"/>
      </w:numPr>
      <w:spacing w:after="240" w:line="260" w:lineRule="exact"/>
    </w:pPr>
    <w:rPr>
      <w:rFonts w:eastAsia="Times New Roman"/>
      <w:szCs w:val="20"/>
    </w:rPr>
  </w:style>
  <w:style w:type="paragraph" w:styleId="NoSpacing">
    <w:name w:val="No Spacing"/>
    <w:link w:val="SinespaciadoCar"/>
    <w:uiPriority w:val="1"/>
    <w:qFormat/>
    <w:rsid w:val="00E41A0B"/>
    <w:rPr>
      <w:rFonts w:ascii="Calibri" w:hAnsi="Calibri"/>
      <w:sz w:val="22"/>
      <w:szCs w:val="22"/>
      <w:lang w:val="en-US" w:eastAsia="en-US" w:bidi="ar-SA"/>
    </w:rPr>
  </w:style>
  <w:style w:type="character" w:customStyle="1" w:styleId="SinespaciadoCar">
    <w:name w:val="Sin espaciado Car"/>
    <w:link w:val="NoSpacing"/>
    <w:uiPriority w:val="1"/>
    <w:rsid w:val="00E41A0B"/>
    <w:rPr>
      <w:rFonts w:ascii="Calibri" w:hAnsi="Calibri"/>
      <w:sz w:val="22"/>
      <w:szCs w:val="22"/>
      <w:lang w:val="en-US" w:eastAsia="en-US" w:bidi="ar-SA"/>
    </w:rPr>
  </w:style>
  <w:style w:type="paragraph" w:customStyle="1" w:styleId="notes">
    <w:name w:val="notes"/>
    <w:basedOn w:val="heading40"/>
    <w:qFormat/>
    <w:rsid w:val="00E41A0B"/>
    <w:pPr>
      <w:outlineLvl w:val="9"/>
    </w:pPr>
    <w:rPr>
      <w:rFonts w:ascii="Segoe UI" w:hAnsi="Segoe UI"/>
      <w:sz w:val="20"/>
      <w:lang w:eastAsia="es-CO"/>
    </w:rPr>
  </w:style>
  <w:style w:type="paragraph" w:customStyle="1" w:styleId="Notestitle">
    <w:name w:val="Notes title"/>
    <w:basedOn w:val="notes"/>
    <w:qFormat/>
    <w:rsid w:val="00E41A0B"/>
  </w:style>
  <w:style w:type="paragraph" w:customStyle="1" w:styleId="TableText">
    <w:name w:val="Table Text"/>
    <w:rsid w:val="00E41A0B"/>
    <w:pPr>
      <w:spacing w:before="100"/>
    </w:pPr>
    <w:rPr>
      <w:rFonts w:ascii="Segoe UI" w:hAnsi="Segoe UI"/>
      <w:color w:val="595959"/>
      <w:sz w:val="16"/>
      <w:lang w:val="en-US" w:eastAsia="en-US" w:bidi="ar-SA"/>
    </w:rPr>
  </w:style>
  <w:style w:type="paragraph" w:customStyle="1" w:styleId="Total">
    <w:name w:val="Total"/>
    <w:basedOn w:val="TableText"/>
    <w:rsid w:val="00E41A0B"/>
    <w:pPr>
      <w:jc w:val="right"/>
    </w:pPr>
    <w:rPr>
      <w:b/>
      <w:bCs/>
    </w:rPr>
  </w:style>
  <w:style w:type="paragraph" w:customStyle="1" w:styleId="PageNumber1">
    <w:name w:val="Page Number1"/>
    <w:basedOn w:val="Total"/>
    <w:qFormat/>
    <w:rsid w:val="00E41A0B"/>
    <w:pPr>
      <w:spacing w:before="40"/>
      <w:jc w:val="left"/>
    </w:pPr>
  </w:style>
  <w:style w:type="paragraph" w:customStyle="1" w:styleId="StyleHeading1NotBold">
    <w:name w:val="Style Heading 1 + Not Bold"/>
    <w:basedOn w:val="Heading1"/>
    <w:rsid w:val="00E41A0B"/>
    <w:pPr>
      <w:numPr>
        <w:ilvl w:val="0"/>
        <w:numId w:val="0"/>
      </w:numPr>
    </w:pPr>
    <w:rPr>
      <w:b/>
    </w:rPr>
  </w:style>
  <w:style w:type="paragraph" w:customStyle="1" w:styleId="StyleProjectNameAllerLightRight">
    <w:name w:val="Style Project Name + Aller Light Right"/>
    <w:basedOn w:val="Normal"/>
    <w:rsid w:val="00E41A0B"/>
    <w:pPr>
      <w:spacing w:before="100" w:after="0" w:line="240" w:lineRule="auto"/>
      <w:jc w:val="right"/>
    </w:pPr>
    <w:rPr>
      <w:rFonts w:ascii="Aller Light" w:eastAsia="Times New Roman" w:hAnsi="Aller Light"/>
      <w:color w:val="808080"/>
      <w:sz w:val="44"/>
      <w:szCs w:val="20"/>
    </w:rPr>
  </w:style>
  <w:style w:type="paragraph" w:customStyle="1" w:styleId="StyleStyleProjectNameAllerLightRightAller40ptText1">
    <w:name w:val="Style Style Project Name + Aller Light Right + Aller 40 pt Text 1"/>
    <w:basedOn w:val="StyleProjectNameAllerLightRight"/>
    <w:rsid w:val="00E41A0B"/>
    <w:rPr>
      <w:rFonts w:ascii="Neo Sans Std" w:hAnsi="Neo Sans Std"/>
      <w:color w:val="595959"/>
      <w:sz w:val="80"/>
    </w:rPr>
  </w:style>
  <w:style w:type="paragraph" w:customStyle="1" w:styleId="StyleStyleProjectNameAllerLightRightAller40ptText11">
    <w:name w:val="Style Style Project Name + Aller Light Right + Aller 40 pt Text 11"/>
    <w:basedOn w:val="StyleProjectNameAllerLightRight"/>
    <w:rsid w:val="00E41A0B"/>
    <w:rPr>
      <w:rFonts w:ascii="Neo Sans Std" w:hAnsi="Neo Sans Std"/>
      <w:color w:val="2E5E88"/>
      <w:sz w:val="40"/>
    </w:rPr>
  </w:style>
  <w:style w:type="paragraph" w:customStyle="1" w:styleId="StyleStyleProposalAllerText1TopNoborderRight">
    <w:name w:val="Style Style Proposal + Aller Text 1 Top: (No border) + Right"/>
    <w:basedOn w:val="Normal"/>
    <w:rsid w:val="00E41A0B"/>
    <w:pPr>
      <w:spacing w:after="0" w:line="240" w:lineRule="auto"/>
      <w:jc w:val="right"/>
    </w:pPr>
    <w:rPr>
      <w:rFonts w:eastAsia="Times New Roman"/>
      <w:sz w:val="76"/>
      <w:szCs w:val="20"/>
    </w:rPr>
  </w:style>
  <w:style w:type="paragraph" w:customStyle="1" w:styleId="textoheader">
    <w:name w:val="texto header"/>
    <w:basedOn w:val="Normal"/>
    <w:qFormat/>
    <w:rsid w:val="00E41A0B"/>
    <w:pPr>
      <w:pBdr>
        <w:left w:val="single" w:sz="4" w:space="4" w:color="595959"/>
      </w:pBdr>
      <w:tabs>
        <w:tab w:val="left" w:pos="1620"/>
      </w:tabs>
      <w:spacing w:after="0" w:line="240" w:lineRule="auto"/>
      <w:jc w:val="right"/>
    </w:pPr>
    <w:rPr>
      <w:rFonts w:ascii="Neo Sans Std" w:hAnsi="Neo Sans Std"/>
      <w:color w:val="808080"/>
      <w:sz w:val="26"/>
      <w:szCs w:val="26"/>
    </w:rPr>
  </w:style>
  <w:style w:type="paragraph" w:customStyle="1" w:styleId="Titulotabla">
    <w:name w:val="Titulo tabla"/>
    <w:qFormat/>
    <w:rsid w:val="00E41A0B"/>
    <w:pPr>
      <w:tabs>
        <w:tab w:val="left" w:pos="1620"/>
      </w:tabs>
      <w:spacing w:before="40"/>
    </w:pPr>
    <w:rPr>
      <w:rFonts w:ascii="Segoe UI" w:eastAsia="Calibri" w:hAnsi="Segoe UI"/>
      <w:color w:val="595959"/>
      <w:sz w:val="22"/>
      <w:szCs w:val="28"/>
      <w:lang w:val="es-CO" w:eastAsia="en-US" w:bidi="ar-SA"/>
    </w:rPr>
  </w:style>
  <w:style w:type="paragraph" w:styleId="TOAHeading">
    <w:name w:val="toa heading"/>
    <w:basedOn w:val="Normal"/>
    <w:next w:val="Normal"/>
    <w:uiPriority w:val="99"/>
    <w:unhideWhenUsed/>
    <w:rsid w:val="00E41A0B"/>
    <w:pPr>
      <w:spacing w:before="120"/>
    </w:pPr>
    <w:rPr>
      <w:rFonts w:ascii="Neo Sans Std" w:eastAsia="Times New Roman" w:hAnsi="Neo Sans Std"/>
      <w:bCs/>
      <w:color w:val="1A2A44"/>
      <w:sz w:val="30"/>
      <w:szCs w:val="24"/>
    </w:rPr>
  </w:style>
  <w:style w:type="paragraph" w:styleId="TOC4">
    <w:name w:val="toc 4"/>
    <w:basedOn w:val="ModelerNormal"/>
    <w:next w:val="ModelerNormal"/>
    <w:autoRedefine/>
    <w:uiPriority w:val="39"/>
    <w:unhideWhenUsed/>
    <w:rsid w:val="00E41A0B"/>
    <w:pPr>
      <w:tabs>
        <w:tab w:val="left" w:pos="1542"/>
        <w:tab w:val="right" w:leader="dot" w:pos="8828"/>
      </w:tabs>
      <w:spacing w:before="120" w:after="0"/>
      <w:ind w:left="601"/>
      <w:jc w:val="both"/>
    </w:pPr>
  </w:style>
  <w:style w:type="paragraph" w:styleId="TOC6">
    <w:name w:val="toc 6"/>
    <w:basedOn w:val="TOC3"/>
    <w:next w:val="Normal"/>
    <w:autoRedefine/>
    <w:uiPriority w:val="39"/>
    <w:unhideWhenUsed/>
    <w:rsid w:val="00E41A0B"/>
    <w:pPr>
      <w:spacing w:after="100"/>
      <w:ind w:left="2268"/>
    </w:pPr>
  </w:style>
  <w:style w:type="paragraph" w:customStyle="1" w:styleId="website">
    <w:name w:val="website"/>
    <w:basedOn w:val="Footer"/>
    <w:qFormat/>
    <w:rsid w:val="00E41A0B"/>
    <w:pPr>
      <w:tabs>
        <w:tab w:val="clear" w:pos="4419"/>
        <w:tab w:val="center" w:pos="4680"/>
        <w:tab w:val="clear" w:pos="8838"/>
        <w:tab w:val="right" w:pos="9360"/>
      </w:tabs>
      <w:spacing w:after="200" w:line="260" w:lineRule="exact"/>
      <w:ind w:left="630"/>
      <w:jc w:val="right"/>
    </w:pPr>
    <w:rPr>
      <w:rFonts w:eastAsia="Times New Roman"/>
      <w:noProof/>
      <w:szCs w:val="20"/>
    </w:rPr>
  </w:style>
  <w:style w:type="numbering" w:customStyle="1" w:styleId="Headings">
    <w:name w:val="Headings"/>
    <w:uiPriority w:val="99"/>
    <w:rsid w:val="007E50A6"/>
    <w:pPr>
      <w:numPr>
        <w:numId w:val="5"/>
      </w:numPr>
    </w:pPr>
  </w:style>
  <w:style w:type="paragraph" w:customStyle="1" w:styleId="bizTitle">
    <w:name w:val="bizTitle"/>
    <w:basedOn w:val="Normal"/>
    <w:next w:val="Title"/>
    <w:link w:val="bizTitleChar"/>
    <w:qFormat/>
    <w:rsid w:val="00C55278"/>
    <w:pPr>
      <w:spacing w:before="240" w:after="60" w:line="240" w:lineRule="auto"/>
      <w:jc w:val="right"/>
      <w:outlineLvl w:val="0"/>
    </w:pPr>
    <w:rPr>
      <w:rFonts w:ascii="Segoe UI Semilight" w:eastAsia="Times New Roman" w:hAnsi="Segoe UI Semilight" w:cs="Vrinda"/>
      <w:bCs/>
      <w:color w:val="212D34"/>
      <w:kern w:val="28"/>
      <w:sz w:val="96"/>
      <w:szCs w:val="32"/>
    </w:rPr>
  </w:style>
  <w:style w:type="paragraph" w:customStyle="1" w:styleId="bizSubtitle">
    <w:name w:val="bizSubtitle"/>
    <w:basedOn w:val="Subtitle"/>
    <w:next w:val="Subtitle"/>
    <w:link w:val="bizSubtitleChar"/>
    <w:qFormat/>
    <w:rsid w:val="00C55278"/>
    <w:pPr>
      <w:jc w:val="right"/>
    </w:pPr>
    <w:rPr>
      <w:rFonts w:ascii="Segoe UI Semilight" w:hAnsi="Segoe UI Semilight"/>
      <w:color w:val="30646E"/>
      <w:sz w:val="64"/>
    </w:rPr>
  </w:style>
  <w:style w:type="character" w:customStyle="1" w:styleId="ModelerNormalChar">
    <w:name w:val="ModelerNormal Char"/>
    <w:link w:val="ModelerNormal"/>
    <w:rsid w:val="00DA5550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bizTitleChar">
    <w:name w:val="bizTitle Char"/>
    <w:link w:val="bizTitle"/>
    <w:rsid w:val="00C55278"/>
    <w:rPr>
      <w:rFonts w:ascii="Segoe UI Semilight" w:hAnsi="Segoe UI Semilight" w:cs="Vrinda"/>
      <w:bCs/>
      <w:color w:val="212D34"/>
      <w:kern w:val="28"/>
      <w:sz w:val="96"/>
      <w:szCs w:val="32"/>
      <w:lang w:val="en-US" w:eastAsia="en-US"/>
    </w:rPr>
  </w:style>
  <w:style w:type="paragraph" w:styleId="Title">
    <w:name w:val="Title"/>
    <w:basedOn w:val="Normal"/>
    <w:next w:val="Normal"/>
    <w:link w:val="TtuloCar"/>
    <w:uiPriority w:val="10"/>
    <w:qFormat/>
    <w:rsid w:val="00DA5550"/>
    <w:pPr>
      <w:spacing w:before="240" w:after="60"/>
      <w:jc w:val="center"/>
      <w:outlineLvl w:val="0"/>
    </w:pPr>
    <w:rPr>
      <w:rFonts w:ascii="Cambria" w:eastAsia="Times New Roman" w:hAnsi="Cambria" w:cs="Vrinda"/>
      <w:b/>
      <w:bCs/>
      <w:kern w:val="28"/>
      <w:sz w:val="32"/>
      <w:szCs w:val="32"/>
    </w:rPr>
  </w:style>
  <w:style w:type="character" w:customStyle="1" w:styleId="TtuloCar">
    <w:name w:val="Título Car"/>
    <w:link w:val="Title"/>
    <w:uiPriority w:val="10"/>
    <w:rsid w:val="00DA5550"/>
    <w:rPr>
      <w:rFonts w:ascii="Cambria" w:eastAsia="Times New Roman" w:hAnsi="Cambria" w:cs="Vrinda"/>
      <w:b/>
      <w:bCs/>
      <w:color w:val="595959"/>
      <w:kern w:val="28"/>
      <w:sz w:val="32"/>
      <w:szCs w:val="32"/>
      <w:lang w:val="en-US" w:eastAsia="en-US" w:bidi="ar-SA"/>
    </w:rPr>
  </w:style>
  <w:style w:type="paragraph" w:customStyle="1" w:styleId="BoldModelerNormal">
    <w:name w:val="BoldModelerNormal"/>
    <w:basedOn w:val="ModelerNormal"/>
    <w:next w:val="ModelerNormal"/>
    <w:qFormat/>
    <w:rsid w:val="00032CAE"/>
    <w:rPr>
      <w:b/>
    </w:rPr>
  </w:style>
  <w:style w:type="paragraph" w:styleId="Subtitle">
    <w:name w:val="Subtitle"/>
    <w:basedOn w:val="Normal"/>
    <w:next w:val="Normal"/>
    <w:link w:val="SubttuloCar"/>
    <w:uiPriority w:val="11"/>
    <w:qFormat/>
    <w:rsid w:val="001E5639"/>
    <w:pPr>
      <w:spacing w:after="60"/>
      <w:jc w:val="center"/>
      <w:outlineLvl w:val="1"/>
    </w:pPr>
    <w:rPr>
      <w:rFonts w:ascii="Cambria" w:eastAsia="Times New Roman" w:hAnsi="Cambria" w:cs="Vrinda"/>
      <w:sz w:val="24"/>
      <w:szCs w:val="24"/>
    </w:rPr>
  </w:style>
  <w:style w:type="character" w:customStyle="1" w:styleId="SubttuloCar">
    <w:name w:val="Subtítulo Car"/>
    <w:link w:val="Subtitle"/>
    <w:uiPriority w:val="11"/>
    <w:rsid w:val="001E5639"/>
    <w:rPr>
      <w:rFonts w:ascii="Cambria" w:eastAsia="Times New Roman" w:hAnsi="Cambria" w:cs="Vrinda"/>
      <w:color w:val="595959"/>
      <w:sz w:val="24"/>
      <w:szCs w:val="24"/>
      <w:lang w:val="en-US" w:eastAsia="en-US" w:bidi="ar-SA"/>
    </w:rPr>
  </w:style>
  <w:style w:type="character" w:customStyle="1" w:styleId="bizSubtitleChar">
    <w:name w:val="bizSubtitle Char"/>
    <w:link w:val="bizSubtitle"/>
    <w:rsid w:val="00C55278"/>
    <w:rPr>
      <w:rFonts w:ascii="Segoe UI Semilight" w:hAnsi="Segoe UI Semilight" w:cs="Vrinda"/>
      <w:color w:val="30646E"/>
      <w:sz w:val="6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3.png" /><Relationship Id="rId11" Type="http://schemas.openxmlformats.org/officeDocument/2006/relationships/image" Target="media/image4.png" /><Relationship Id="rId12" Type="http://schemas.openxmlformats.org/officeDocument/2006/relationships/image" Target="media/image5.png" /><Relationship Id="rId13" Type="http://schemas.openxmlformats.org/officeDocument/2006/relationships/image" Target="media/image6.png" /><Relationship Id="rId14" Type="http://schemas.openxmlformats.org/officeDocument/2006/relationships/image" Target="media/image7.png" /><Relationship Id="rId15" Type="http://schemas.openxmlformats.org/officeDocument/2006/relationships/header" Target="header2.xml" /><Relationship Id="rId16" Type="http://schemas.openxmlformats.org/officeDocument/2006/relationships/header" Target="header3.xml" /><Relationship Id="rId17" Type="http://schemas.openxmlformats.org/officeDocument/2006/relationships/footer" Target="footer4.xml" /><Relationship Id="rId18" Type="http://schemas.openxmlformats.org/officeDocument/2006/relationships/header" Target="header4.xml" /><Relationship Id="rId19" Type="http://schemas.openxmlformats.org/officeDocument/2006/relationships/image" Target="media/image10.emf" /><Relationship Id="rId2" Type="http://schemas.openxmlformats.org/officeDocument/2006/relationships/webSettings" Target="webSettings.xml" /><Relationship Id="rId20" Type="http://schemas.openxmlformats.org/officeDocument/2006/relationships/image" Target="media/image11.png" /><Relationship Id="rId21" Type="http://schemas.openxmlformats.org/officeDocument/2006/relationships/image" Target="media/image12.png" /><Relationship Id="rId22" Type="http://schemas.openxmlformats.org/officeDocument/2006/relationships/image" Target="media/image13.png" /><Relationship Id="rId23" Type="http://schemas.openxmlformats.org/officeDocument/2006/relationships/image" Target="media/image14.png" /><Relationship Id="rId24" Type="http://schemas.openxmlformats.org/officeDocument/2006/relationships/image" Target="media/image15.png" /><Relationship Id="rId25" Type="http://schemas.openxmlformats.org/officeDocument/2006/relationships/image" Target="media/image16.png" /><Relationship Id="rId26" Type="http://schemas.openxmlformats.org/officeDocument/2006/relationships/image" Target="media/image17.png" /><Relationship Id="rId27" Type="http://schemas.openxmlformats.org/officeDocument/2006/relationships/image" Target="media/image18.png" /><Relationship Id="rId28" Type="http://schemas.openxmlformats.org/officeDocument/2006/relationships/image" Target="media/image19.png" /><Relationship Id="rId29" Type="http://schemas.openxmlformats.org/officeDocument/2006/relationships/image" Target="media/image20.png" /><Relationship Id="rId3" Type="http://schemas.openxmlformats.org/officeDocument/2006/relationships/fontTable" Target="fontTable.xml" /><Relationship Id="rId30" Type="http://schemas.openxmlformats.org/officeDocument/2006/relationships/numbering" Target="numbering.xml" /><Relationship Id="rId31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footer" Target="footer3.xml" /></Relationships>
</file>

<file path=word/_rels/footer2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footer3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image" Target="media/image2.png" 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8.png" /><Relationship Id="rId2" Type="http://schemas.openxmlformats.org/officeDocument/2006/relationships/image" Target="media/image9.png" /></Relationships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23</Pages>
  <Words>0</Words>
  <Characters>1</Characters>
  <Application>Microsoft Office Word</Application>
  <DocSecurity>0</DocSecurity>
  <Lines>1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03598064225</dc:creator>
  <cp:lastModifiedBy>03598064225</cp:lastModifiedBy>
  <cp:revision>1</cp:revision>
  <dcterms:created xsi:type="dcterms:W3CDTF">2014-03-13T20:06:00Z</dcterms:created>
  <dcterms:modified xsi:type="dcterms:W3CDTF">2021-06-30T16:18:00Z</dcterms:modified>
</cp:coreProperties>
</file>