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Redesenhos dos fluxos de tratamento e distribuição da bolsas de hemocomponentes (ciclo do sangue) 2.0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Redesenhos dos fluxos de tratamento e distribuição da bolsas de hemocomponentes (ciclo do sangue) 2.0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Subprocesso da Análise da Qualidade da Bolsa de Plasma Fresco Congelado Interior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Subprocesso da Análise da Qualidade da Bolsa de Plasma Fresco Congelado Interior - TO BE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3103693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Apanhar bolsas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7058265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Descongelar bolsa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5420130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Realizar inspeção visual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6500254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Retirar amostras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7760992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Encaminhar amostras para o LEPAC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8791028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Registrar resultados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9102054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Expurgar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3759001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Expurgar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8231827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Registrar expurgo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17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4"/>
          <w:headerReference w:type="default" r:id="rId15"/>
          <w:footerReference w:type="default" r:id="rId16"/>
          <w:headerReference w:type="first" r:id="rId17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1180178337e1408aa686757d51228816"/>
      <w:bookmarkStart w:id="3" w:name="_Toc256000002"/>
      <w:r>
        <w:t>TO BE - Subprocesso da Análise da Qualidade da Bolsa de Plasma Fresco Congelado Interior</w:t>
      </w:r>
      <w:bookmarkEnd w:id="3"/>
    </w:p>
    <w:p>
      <w:pPr>
        <w:jc w:val="center"/>
      </w:pPr>
      <w:bookmarkEnd w:id="2"/>
      <w:r>
        <w:drawing>
          <wp:inline>
            <wp:extent cx="6906146" cy="5845810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80274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906146" cy="584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Esse processo tem como escopo o redesenho do processo</w:t>
      </w:r>
      <w:r>
        <w:t xml:space="preserve"> Análise da Qualidade de Hemocomponente Plasma  Fresco Congelado - PFC - Capital</w:t>
      </w:r>
      <w:r>
        <w:t>, desde a necessidade de realizar análise do segmento da bolsa de PFC pelo Controle de Qualidade até a disponibilização dos relatórios com os resultados semanais de pré-congelamento e mensais de pós-congelamento para setor de Processamento e Gerência Médica, via sistema SIHRO.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>Delner Freire</w:t>
      </w:r>
      <w:r>
        <w:br/>
      </w:r>
      <w:r>
        <w:t>Superintendente</w:t>
      </w:r>
      <w:r>
        <w:br/>
      </w:r>
      <w:r>
        <w:br/>
      </w:r>
      <w:r>
        <w:t>Maico Moreira</w:t>
      </w:r>
      <w:r>
        <w:br/>
      </w:r>
      <w:r>
        <w:t>Diretor Técnico</w:t>
      </w:r>
      <w:r>
        <w:br/>
      </w:r>
      <w:r>
        <w:br/>
      </w:r>
      <w:r>
        <w:t>Henrique Douglas Freire</w:t>
      </w:r>
      <w:r>
        <w:br/>
      </w:r>
      <w:r>
        <w:t>Coordenador de Gestão Estratégica</w:t>
      </w:r>
      <w:bookmarkStart w:id="5" w:name="_dx_frag_EndFragment"/>
      <w:bookmarkEnd w:id="5"/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Geciele Gonçalves  - Analista de Processos</w:t>
      </w:r>
    </w:p>
    <w:p>
      <w:pPr>
        <w:pStyle w:val="ModelerNormal"/>
        <w:spacing w:afterAutospacing="1"/>
      </w:pPr>
      <w:r>
        <w:t>Thaís Roca - Analista de Processo</w:t>
      </w:r>
      <w:r>
        <w:t>s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Antônio Marcos - Biomédico responsável pelo setor de Controle de Qualidade da FHEMERON</w:t>
      </w:r>
      <w:r>
        <w:br/>
      </w:r>
      <w:r>
        <w:t>Thiago Brasil - Téc. em Laboratório pelo setor de Controle de Qualidade da FHEMERON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Luma Damon</w:t>
      </w:r>
      <w:r>
        <w:t xml:space="preserve"> </w:t>
      </w:r>
      <w:r>
        <w:t>- Gerente de Processos</w:t>
      </w:r>
      <w:r>
        <w:t>s</w:t>
      </w:r>
      <w:r>
        <w:br/>
      </w:r>
      <w:r>
        <w:t>Antônio Marcos</w:t>
      </w:r>
      <w:r>
        <w:t xml:space="preserve"> - Dono do Processo</w:t>
      </w:r>
      <w:r>
        <w:br/>
      </w:r>
      <w:r>
        <w:t>Ádila Pires</w:t>
      </w:r>
      <w:r>
        <w:t xml:space="preserve"> - </w:t>
      </w:r>
      <w:r>
        <w:t>Dona do Produto</w:t>
      </w:r>
    </w:p>
    <w:p>
      <w:pPr>
        <w:pStyle w:val="BoldModelerNormal"/>
      </w:pPr>
      <w:r>
        <w:t>VERSIONAMENTO</w:t>
      </w:r>
    </w:p>
    <w:tbl>
      <w:tblPr>
        <w:tblW w:w="5000" w:type="pct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849"/>
        <w:gridCol w:w="1395"/>
        <w:gridCol w:w="2201"/>
        <w:gridCol w:w="4346"/>
      </w:tblGrid>
      <w:tr>
        <w:tblPrEx>
          <w:tblW w:w="5000" w:type="pct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08/06/2022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Geciele Gonçalves;</w:t>
            </w:r>
          </w:p>
          <w:p>
            <w:pPr>
              <w:pStyle w:val="ModelerNormal"/>
              <w:spacing w:afterAutospacing="1"/>
            </w:pPr>
            <w:r>
              <w:t>Thaís Roca</w:t>
            </w:r>
            <w:r>
              <w:t>.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Modelagem do Processo de Negócio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29/05/2023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Atualização de padrão textual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65da2295c2f04196b320f372a791d4dd"/>
      <w:bookmarkStart w:id="7" w:name="_Toc256000003"/>
      <w:r>
        <w:t>Subprocesso da Análise da Qualidade da Bolsa de Plasma Fresco Congelado Interior - TO BE</w:t>
      </w:r>
      <w:bookmarkEnd w:id="7"/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118753270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71784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Apanhar bolsas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Processamento</w:t>
      </w:r>
      <w:r>
        <w:br/>
      </w:r>
      <w:r>
        <w:br/>
      </w:r>
      <w:r>
        <w:t xml:space="preserve">O que: </w:t>
      </w:r>
      <w:r>
        <w:t>Apanhar bolsas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Apanhar as bolsas de plasma fresco congelado que estão na câmara fria, no estoque do Processamento (em uma gaveta reservada ao Controle de Qualidade);</w:t>
      </w:r>
      <w:r>
        <w:br/>
      </w:r>
      <w:r>
        <w:t xml:space="preserve">Tarefa 2: </w:t>
      </w:r>
      <w:r>
        <w:t>Medir temperatura das bolsas de plasma fresco congelado;</w:t>
      </w:r>
      <w:r>
        <w:br/>
      </w:r>
      <w:r>
        <w:t xml:space="preserve">Tarefa 3: </w:t>
      </w:r>
      <w:r>
        <w:t>Verificar se a temperatura da bolsa está em aproximadamente - 80°C;</w:t>
      </w:r>
    </w:p>
    <w:p>
      <w:pPr>
        <w:pStyle w:val="ModelerNormal"/>
        <w:spacing w:afterAutospacing="1"/>
      </w:pPr>
      <w:r>
        <w:t>Observação: </w:t>
      </w:r>
      <w:r>
        <w:br/>
      </w:r>
      <w:r>
        <w:t xml:space="preserve">1 - </w:t>
      </w:r>
      <w:r>
        <w:t>Caso a temperatura da bolsa esteja variando acima de - 80 ºC, a bolsa será examinada normalmente.</w:t>
      </w:r>
      <w:r>
        <w:br/>
      </w:r>
      <w:r>
        <w:t xml:space="preserve">Tarefa 4: </w:t>
      </w:r>
      <w:r>
        <w:t>Anotar a temperatura em papel avulso para posterir registro no sistema SIHRO.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as bolsassejam apanhadas e transportadas para o setor de Controle de Qualidade, onde passarão por análises.</w:t>
      </w:r>
    </w:p>
    <w:p>
      <w:pPr>
        <w:pStyle w:val="ModelerNormal"/>
        <w:spacing w:afterAutospacing="1"/>
      </w:pPr>
      <w:r>
        <w:t> </w:t>
      </w:r>
      <w:r>
        <w:br/>
      </w:r>
      <w:r>
        <w:t>PORTARIA Nº 158, DE 4 DE FEVEREIRO DE 2016</w:t>
      </w:r>
    </w:p>
    <w:p>
      <w:pPr>
        <w:pStyle w:val="ModelerNormal"/>
        <w:spacing w:afterAutospacing="1"/>
      </w:pPr>
      <w:r>
        <w:t>Redefine o regulamento técnico de procedimentos hemoterápicos</w:t>
      </w:r>
    </w:p>
    <w:p>
      <w:pPr>
        <w:pStyle w:val="ModelerNormal"/>
        <w:spacing w:afterAutospacing="1"/>
      </w:pPr>
      <w:r>
        <w:br/>
      </w:r>
      <w:r>
        <w:t> Art. 95. O PFC é o plasma separado de uma unidade de sangue total por centrifugação ou por aférese e congelado completamente em até 8 (oito) horas depois da coleta, atingindo temperaturas iguais ou inferiores a -30oC (trinta graus Celsius negativos).</w:t>
      </w:r>
      <w:r>
        <w:t xml:space="preserve"> </w:t>
      </w:r>
      <w:r>
        <w:br/>
      </w:r>
      <w:r>
        <w:t>§ 2º O PFC será armazenado à temperatura de, no mínimo, - 20°C (vinte graus Celsius negativos), sendo, porém, recomendada a temperatura igual ou inferior a -30oC (trinta graus Celsius negativos).</w:t>
      </w:r>
      <w:r>
        <w:t xml:space="preserve"> </w:t>
      </w:r>
    </w:p>
    <w:p>
      <w:pPr>
        <w:pStyle w:val="bizHeading4"/>
      </w:pPr>
      <w:bookmarkStart w:id="10" w:name="_Toc256000006"/>
      <w:r>
        <w:drawing>
          <wp:inline>
            <wp:extent cx="152421" cy="152421"/>
            <wp:docPr id="134411468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633785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Descongelar bolsa</w:t>
      </w:r>
      <w:bookmarkEnd w:id="10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Na incubadora de bolsas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O que: </w:t>
      </w:r>
      <w:r>
        <w:t>Descongelar bolsas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Quando:</w:t>
      </w:r>
    </w:p>
    <w:p>
      <w:pPr>
        <w:pStyle w:val="ModelerNormal"/>
        <w:spacing w:afterAutospacing="1"/>
      </w:pPr>
      <w:r>
        <w:t>Como:</w:t>
      </w:r>
      <w:r>
        <w:br/>
      </w:r>
      <w:r>
        <w:t xml:space="preserve">Tarefa 1: </w:t>
      </w:r>
      <w:r>
        <w:t>Dispor as bolsas de PFC na incubadora de bolsas;</w:t>
      </w:r>
      <w:r>
        <w:br/>
      </w:r>
      <w:r>
        <w:t xml:space="preserve">Tarefa 2: </w:t>
      </w:r>
      <w:r>
        <w:t>Aguardar descongelamento das bolsas;</w:t>
      </w:r>
      <w:r>
        <w:br/>
      </w:r>
      <w:r>
        <w:t>Observações: </w:t>
      </w:r>
      <w:r>
        <w:br/>
      </w:r>
      <w:r>
        <w:t>1 -</w:t>
      </w:r>
      <w:r>
        <w:t xml:space="preserve"> A bolsa descongelará em banho-maria em uma temperatura aproximada de 37 °C;</w:t>
      </w:r>
      <w:r>
        <w:br/>
      </w:r>
      <w:r>
        <w:t xml:space="preserve">2 - </w:t>
      </w:r>
      <w:r>
        <w:t>O tempo aproximado para o descongelamento da bolsa é aproximadamente 30 minutos;</w:t>
      </w:r>
      <w:r>
        <w:br/>
      </w:r>
      <w:r>
        <w:t xml:space="preserve">Tarefa 3: </w:t>
      </w:r>
      <w:r>
        <w:t>Levar as bolsas descongeladas para outra sala do Controle de Qualidade.</w:t>
      </w:r>
      <w:r>
        <w:br/>
      </w:r>
      <w:r>
        <w:br/>
      </w:r>
      <w:r>
        <w:t>Por que essa atividade acontece? </w:t>
      </w:r>
      <w:r>
        <w:br/>
      </w:r>
      <w:r>
        <w:t xml:space="preserve">Essa atividade acontece porque é necessário que as bolsas sejam descongeladas para que posteriormente seja retirado uma amostra, a fim de analisar a qualidade do plasma coletado pelo setor de Processamento. 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 </w:t>
      </w:r>
      <w:r>
        <w:t>                                                 </w:t>
      </w:r>
      <w:r>
        <w:t>PORTARIA Nº 158, DE 4 DE FEVEREIRO DE 2016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Art. 200. O plasma fresco congelado e o plasma isento de crioprecipitado serão descongelados à temperatura de 37ºC (trinta e sete graus Celsius) em dispositivo devidamente qualificado.</w:t>
      </w:r>
    </w:p>
    <w:p>
      <w:pPr>
        <w:pStyle w:val="ModelerNormal"/>
        <w:spacing w:afterAutospacing="1"/>
      </w:pPr>
      <w:r>
        <w:t>§ 1º Para evitar contaminação, a bolsa será protegida por invólucro plástico durante o descongelamento em banho-maria.</w:t>
      </w:r>
    </w:p>
    <w:p>
      <w:pPr>
        <w:pStyle w:val="bizHeading4"/>
      </w:pPr>
      <w:bookmarkStart w:id="11" w:name="_Toc256000007"/>
      <w:r>
        <w:drawing>
          <wp:inline>
            <wp:extent cx="152421" cy="152421"/>
            <wp:docPr id="21011423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32996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Realizar inspeção visual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Controle de Qualidade</w:t>
      </w:r>
      <w:r>
        <w:br/>
      </w:r>
      <w:r>
        <w:br/>
      </w:r>
      <w:r>
        <w:t xml:space="preserve">O que: </w:t>
      </w:r>
      <w:r>
        <w:t>Realizar inspeção visual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</w:t>
      </w:r>
      <w:r>
        <w:t>: Realizar inspeção visual para verificar se a bolsa de plasma fresco congelado apresenta:</w:t>
      </w:r>
      <w:r>
        <w:br/>
      </w:r>
      <w:r>
        <w:t>· Coloração atípica (lipemia, icterícia, hemólise)</w:t>
      </w:r>
      <w:r>
        <w:br/>
      </w:r>
      <w:r>
        <w:t>· Presença de fibrina</w:t>
      </w:r>
      <w:r>
        <w:br/>
      </w:r>
      <w:r>
        <w:t>· Presença de hemácias</w:t>
      </w:r>
      <w:r>
        <w:br/>
      </w:r>
      <w:r>
        <w:t xml:space="preserve">· Presença de vazamento </w:t>
      </w:r>
      <w:r>
        <w:t> 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1 - </w:t>
      </w:r>
      <w:r>
        <w:t>Caso apresente coágulos, hemácias, coloração atípica, fibrina e/ou vazamento, a bolsa será descartada imediatamente e o técnico registrará o expurgo no sistema SIHRO;</w:t>
      </w:r>
      <w:r>
        <w:br/>
      </w:r>
      <w:r>
        <w:t xml:space="preserve">2 - </w:t>
      </w:r>
      <w:r>
        <w:t>A inspeção estando normal, o técnico irá retirar uma amostra para exame microbiológico.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verificar se a bolsa apresenta alguma das alterações visuais citadas acima.</w:t>
      </w:r>
    </w:p>
    <w:p>
      <w:pPr>
        <w:pStyle w:val="bizHeading4"/>
      </w:pPr>
      <w:bookmarkStart w:id="12" w:name="_Toc256000008"/>
      <w:r>
        <w:drawing>
          <wp:inline>
            <wp:extent cx="152421" cy="152421"/>
            <wp:docPr id="137893306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30283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Retirar amostras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  </w:t>
      </w:r>
      <w:r>
        <w:t>Controle de Qualidade</w:t>
      </w:r>
      <w:r>
        <w:br/>
      </w:r>
      <w:r>
        <w:br/>
      </w:r>
      <w:r>
        <w:t xml:space="preserve">O que: </w:t>
      </w:r>
      <w:r>
        <w:t>Retirar amostras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Abrir bolsa de plasma fresco congelado;</w:t>
      </w:r>
      <w:r>
        <w:br/>
      </w:r>
      <w:r>
        <w:t xml:space="preserve">Tarefa 2: </w:t>
      </w:r>
      <w:r>
        <w:t>Retirar amostra da bolsa de plasma fresco congelado;</w:t>
      </w:r>
      <w:r>
        <w:br/>
      </w:r>
      <w:r>
        <w:t>Observação:</w:t>
      </w:r>
    </w:p>
    <w:p>
      <w:pPr>
        <w:pStyle w:val="ModelerNormal"/>
        <w:spacing w:afterAutospacing="1"/>
      </w:pPr>
      <w:r>
        <w:t xml:space="preserve">1 - </w:t>
      </w:r>
      <w:r>
        <w:t xml:space="preserve">Essa amostra é retirada para realização do exame </w:t>
      </w:r>
      <w:r>
        <w:t>Tempo de Tromboplastina Parcial Ativada - TTPA</w:t>
      </w:r>
      <w:r>
        <w:t>.</w:t>
      </w:r>
      <w:r>
        <w:br/>
      </w:r>
      <w:r>
        <w:t>Tarefa 3:</w:t>
      </w:r>
      <w:r>
        <w:t xml:space="preserve"> Inserir amostra da bolsa em tubo de hemólise;</w:t>
      </w:r>
      <w:r>
        <w:br/>
      </w:r>
      <w:r>
        <w:t>Tarefa 4:</w:t>
      </w:r>
      <w:r>
        <w:t xml:space="preserve"> Escrever o número da bolsa no tubo de amostra que será encaminhado ao </w:t>
      </w:r>
      <w:r>
        <w:t>Laboratório de Patologia e Análises Clínicas - LEPAC</w:t>
      </w:r>
      <w:r>
        <w:t xml:space="preserve"> para sua posterior identificação;</w:t>
      </w:r>
      <w:r>
        <w:br/>
      </w:r>
      <w:r>
        <w:t>Observação:</w:t>
      </w:r>
      <w:r>
        <w:br/>
      </w:r>
      <w:r>
        <w:t xml:space="preserve">1 - </w:t>
      </w:r>
      <w:r>
        <w:t>Após retirar a amostra, a  bolsa será expurgada, pois o Controle de Qualidade precisou abrir essa bolsa, a qual não será mais utilizada devido o risco de contaminação.</w:t>
      </w:r>
      <w:r>
        <w:br/>
      </w:r>
      <w:r>
        <w:br/>
      </w:r>
      <w:r>
        <w:t>Por que essa atividade acontece? </w:t>
      </w:r>
      <w:r>
        <w:br/>
      </w:r>
      <w:r>
        <w:t xml:space="preserve">Essa atividade acontece porque é necessário retirar uma amostra da bolsa de plasma fresco congelado para posterior realização do exame de Tempo de Tromboplastina Parcial Ativada (TTPA) pelo LEPAC. 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13" w:name="_Toc256000009"/>
      <w:r>
        <w:drawing>
          <wp:inline>
            <wp:extent cx="152421" cy="152421"/>
            <wp:docPr id="14302368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49904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Encaminhar amostras para o LEPAC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Controle de Qualidade</w:t>
      </w:r>
      <w:r>
        <w:br/>
      </w:r>
      <w:r>
        <w:br/>
      </w:r>
      <w:r>
        <w:t xml:space="preserve">O que: </w:t>
      </w:r>
      <w:r>
        <w:t>Encaminhar amostras para o LEPAC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Imprimir relação do tubo identificados com o número da bolsa;</w:t>
      </w:r>
      <w:r>
        <w:br/>
      </w:r>
      <w:r>
        <w:t>Tarefa 2: </w:t>
      </w:r>
      <w:r>
        <w:t>Encaminhar tubos e lista de tubos para o LEPAC para realização do teste de TTPA.</w:t>
      </w:r>
      <w:r>
        <w:br/>
      </w:r>
      <w:r>
        <w:t>Observações:</w:t>
      </w:r>
      <w:r>
        <w:br/>
      </w:r>
      <w:r>
        <w:t xml:space="preserve">1 - </w:t>
      </w:r>
      <w:r>
        <w:t xml:space="preserve">Essa relação impressa será levada pelo motorista para o </w:t>
      </w:r>
      <w:r>
        <w:t>Laboratório de Patologia e Análises Clínicas - LEPAC</w:t>
      </w:r>
      <w:r>
        <w:t>;</w:t>
      </w:r>
      <w:r>
        <w:br/>
      </w:r>
      <w:r>
        <w:t xml:space="preserve">2 - </w:t>
      </w:r>
      <w:r>
        <w:t>A lista deve ser assinada pelo técnico que está encaminhando os tubos com amostra de PFC.</w:t>
      </w:r>
      <w:r>
        <w:br/>
      </w:r>
      <w:r>
        <w:t xml:space="preserve">3 - </w:t>
      </w:r>
      <w:r>
        <w:t>Ao retornar, o motorista disponibilizará a relação de tubos assinada pelo servidor do LEPAC, danco ciência que recebeu os tubos.</w:t>
      </w:r>
      <w:r>
        <w:br/>
      </w:r>
      <w:r>
        <w:br/>
      </w:r>
      <w:r>
        <w:t>Por que essa atividade acontece?</w:t>
      </w:r>
      <w:r>
        <w:br/>
      </w:r>
      <w:r>
        <w:t>Essa atividade acontece porque e necessário que os tubos com as amostras sejam identificados e encaminhadas ao LEPAC com a lista de tubos para a realização do exame TTPA, visto que o Controle de Qualidade não realiza esse exame.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drawing>
          <wp:inline>
            <wp:extent cx="5612130" cy="7963530"/>
            <wp:docPr id="10001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65802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963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 </w:t>
      </w:r>
    </w:p>
    <w:p>
      <w:pPr>
        <w:pStyle w:val="bizHeading4"/>
      </w:pPr>
      <w:bookmarkStart w:id="14" w:name="_Toc256000010"/>
      <w:r>
        <w:drawing>
          <wp:inline>
            <wp:extent cx="152421" cy="152421"/>
            <wp:docPr id="119129161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62257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Registrar resultados</w:t>
      </w:r>
      <w:bookmarkEnd w:id="1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Registrar resultados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Solicitar ao motorista a busca dos resultados dos exames de TTPA realizados nas amostras;</w:t>
      </w:r>
      <w:r>
        <w:br/>
      </w:r>
      <w:r>
        <w:t xml:space="preserve">Tarefa 2: </w:t>
      </w:r>
      <w:r>
        <w:t xml:space="preserve">Receber do motorista os resultados dos exames de TTPA realizado pelo LEPAC; </w:t>
      </w:r>
      <w:r>
        <w:br/>
      </w:r>
      <w:r>
        <w:t xml:space="preserve">Tarefa 3: </w:t>
      </w:r>
      <w:r>
        <w:t>Analisar resultados</w:t>
      </w:r>
      <w:r>
        <w:t>;</w:t>
      </w:r>
      <w:r>
        <w:br/>
      </w:r>
      <w:r>
        <w:t xml:space="preserve">Tarefa 4: </w:t>
      </w:r>
      <w:r>
        <w:t>Acessar o sistema SIHRO com login e senha;</w:t>
      </w:r>
      <w:r>
        <w:br/>
      </w:r>
      <w:r>
        <w:t>Tarefa 5: </w:t>
      </w:r>
      <w:r>
        <w:t>Selecionar</w:t>
      </w:r>
      <w:r>
        <w:t xml:space="preserve"> </w:t>
      </w:r>
      <w:r>
        <w:t>aba análise da qualidade dos hemocomponentes e selecionar a opção "analisar plasma fresco congelado - pré-congelamento" (exemplo da planilha atual - figura 1);</w:t>
      </w:r>
      <w:r>
        <w:br/>
      </w:r>
      <w:r>
        <w:t>Tarefa 6:</w:t>
      </w:r>
      <w:r>
        <w:t> Registrar resultados no sistema SIHRO;</w:t>
      </w:r>
      <w:r>
        <w:br/>
      </w:r>
      <w:r>
        <w:t xml:space="preserve">Observações: </w:t>
      </w:r>
      <w:r>
        <w:br/>
      </w:r>
      <w:r>
        <w:t xml:space="preserve">1 - </w:t>
      </w:r>
      <w:r>
        <w:t>O sistema SIHRO deve ter um campo para registrar:</w:t>
      </w:r>
      <w:r>
        <w:br/>
      </w:r>
      <w:r>
        <w:t xml:space="preserve">· </w:t>
      </w:r>
      <w:r>
        <w:t>O</w:t>
      </w:r>
      <w:r>
        <w:t xml:space="preserve"> valor da média do TTPA da FHEMERON atualmente é de 13,30 (pode ser alterado).</w:t>
      </w:r>
      <w:r>
        <w:br/>
      </w:r>
      <w:r>
        <w:t>· O</w:t>
      </w:r>
      <w:r>
        <w:t xml:space="preserve"> resultado do exame de TTPA que é dado em segundos.</w:t>
      </w:r>
      <w:r>
        <w:br/>
      </w:r>
      <w:r>
        <w:t xml:space="preserve">· </w:t>
      </w:r>
      <w:r>
        <w:t>A temperatura.</w:t>
      </w:r>
      <w:r>
        <w:br/>
      </w:r>
      <w:r>
        <w:t xml:space="preserve">2 - </w:t>
      </w:r>
      <w:r>
        <w:t>O sistema SIHRO deve ter o valor de referência  do resultado obtido no exame de TTPA realizado pelo LEPAC (ref.: 36,72s);</w:t>
      </w:r>
      <w:r>
        <w:br/>
      </w:r>
      <w:r>
        <w:t xml:space="preserve">3 - </w:t>
      </w:r>
      <w:r>
        <w:t>Se o valor registrado for maior que o valor de referência, o sistema SIHRO informará o resultado na cor vermelho.</w:t>
      </w:r>
      <w:r>
        <w:br/>
      </w:r>
      <w:r>
        <w:t xml:space="preserve">4 - </w:t>
      </w:r>
      <w:r>
        <w:t>A análise pós-congelamento é realizada mensalmente nas bolsas de plasma congeladas, as quais tiveram os segmentos com amostras retirados para análise pré-congelamento.</w:t>
      </w:r>
      <w:r>
        <w:br/>
      </w:r>
      <w:r>
        <w:t>Tarefa 7:</w:t>
      </w:r>
      <w:r>
        <w:t xml:space="preserve"> Realizar assinatura digital;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1 - </w:t>
      </w:r>
      <w:r>
        <w:t>Os resultados dos exames realizados deverá conter a assinatura digital responsável (formação de nível superior), pois só poderá se assinado por profissionais especialistas na área do exame e seu CRBM;</w:t>
      </w:r>
      <w:r>
        <w:br/>
      </w:r>
      <w:r>
        <w:t>Tarefa 8:</w:t>
      </w:r>
      <w:r>
        <w:t xml:space="preserve"> Emitir relatório e disponibilizar para os Hemocentros do Interior;</w:t>
      </w:r>
      <w:r>
        <w:br/>
      </w:r>
      <w:r>
        <w:t>Observações:</w:t>
      </w:r>
      <w:r>
        <w:br/>
      </w:r>
      <w:r>
        <w:t xml:space="preserve">1 - </w:t>
      </w:r>
      <w:r>
        <w:t>Ao realizar  a emissão do relatório, o sistema SIHRO terá a opção de "encaminhar para os Hemocentros do Interior". Ao clicar nessa opção, o técnico conseguirá selecionar o Hemocentro que será encaminhado o relatório.</w:t>
      </w:r>
      <w:r>
        <w:br/>
      </w:r>
      <w:r>
        <w:t xml:space="preserve">2 - </w:t>
      </w:r>
      <w:r>
        <w:t>Esse relatório será enviado mensalmente via sistema SIHRO para os Hemocentros do Interior;</w:t>
      </w:r>
      <w:r>
        <w:br/>
      </w:r>
      <w:r>
        <w:t xml:space="preserve">3 - </w:t>
      </w:r>
      <w:r>
        <w:t>O sistema SIHRO deverá ter a opção imprimir relatório.</w:t>
      </w:r>
      <w:r>
        <w:br/>
      </w:r>
      <w:r>
        <w:br/>
      </w:r>
      <w:r>
        <w:t>Porque esta atividade acontece?</w:t>
      </w:r>
      <w:r>
        <w:br/>
      </w:r>
      <w:r>
        <w:t>Essa atividade acontece pois é necessário registrar os resultados das análises realizadas na bolsa plasma no sistema SIHRO e posterior emissão de relatório mensal e envio aos Hemocentros do Interior, deixando-os cientes dos resultados obtidos.</w:t>
      </w:r>
    </w:p>
    <w:p>
      <w:pPr>
        <w:pStyle w:val="ModelerNormal"/>
        <w:spacing w:afterAutospacing="1"/>
      </w:pPr>
      <w:r>
        <w:t>  </w:t>
      </w:r>
    </w:p>
    <w:p>
      <w:pPr>
        <w:pStyle w:val="ModelerNormal"/>
        <w:spacing w:afterAutospacing="1"/>
      </w:pPr>
      <w:r>
        <w:t> </w:t>
      </w:r>
      <w:r>
        <w:t xml:space="preserve">Figura 1 - </w:t>
      </w:r>
      <w:r>
        <w:t>Planilha de Plasma Fresco Congelado - PFC (pré-congelamento)</w:t>
      </w:r>
    </w:p>
    <w:p>
      <w:pPr>
        <w:pStyle w:val="ModelerNormal"/>
        <w:spacing w:afterAutospacing="1"/>
      </w:pPr>
      <w:r>
        <w:drawing>
          <wp:inline>
            <wp:extent cx="5612130" cy="3901767"/>
            <wp:docPr id="10001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65936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901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  <w:r>
        <w:t xml:space="preserve">Figura 2 - </w:t>
      </w:r>
      <w:r>
        <w:t>Planilha de Plasma Fresco Congelado - PFC (pós-congelamento)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drawing>
          <wp:inline>
            <wp:extent cx="5612130" cy="3291632"/>
            <wp:docPr id="10001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47939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291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Figura 3 - Relatório mensal de PFC</w:t>
      </w:r>
    </w:p>
    <w:p>
      <w:pPr>
        <w:pStyle w:val="ModelerNormal"/>
        <w:spacing w:afterAutospacing="1"/>
      </w:pPr>
      <w:r>
        <w:t> </w:t>
      </w:r>
      <w:r>
        <w:drawing>
          <wp:inline>
            <wp:extent cx="5612130" cy="3367278"/>
            <wp:docPr id="10001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48584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367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drawing>
          <wp:inline>
            <wp:extent cx="5612130" cy="2920770"/>
            <wp:docPr id="10002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19127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920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drawing>
          <wp:inline>
            <wp:extent cx="5612130" cy="3778741"/>
            <wp:docPr id="10002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578005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778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drawing>
          <wp:inline>
            <wp:extent cx="5612130" cy="5167747"/>
            <wp:docPr id="10002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14512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167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izHeading4"/>
      </w:pPr>
      <w:bookmarkStart w:id="15" w:name="_Toc256000011"/>
      <w:r>
        <w:drawing>
          <wp:inline>
            <wp:extent cx="152421" cy="152421"/>
            <wp:docPr id="101714819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552356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Expurgar</w:t>
      </w:r>
      <w:bookmarkEnd w:id="15"/>
    </w:p>
    <w:p/>
    <w:p>
      <w:pPr>
        <w:pStyle w:val="bizHeading4"/>
      </w:pPr>
      <w:bookmarkStart w:id="16" w:name="_Toc256000012"/>
      <w:r>
        <w:drawing>
          <wp:inline>
            <wp:extent cx="152421" cy="152421"/>
            <wp:docPr id="99813658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397035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Expurgar</w:t>
      </w:r>
      <w:bookmarkEnd w:id="16"/>
    </w:p>
    <w:p/>
    <w:p>
      <w:pPr>
        <w:pStyle w:val="bizHeading4"/>
      </w:pPr>
      <w:bookmarkStart w:id="17" w:name="_Toc256000013"/>
      <w:r>
        <w:drawing>
          <wp:inline>
            <wp:extent cx="152421" cy="152421"/>
            <wp:docPr id="127991616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173153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Registrar expurgo</w:t>
      </w:r>
      <w:bookmarkEnd w:id="17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 xml:space="preserve">O que: </w:t>
      </w:r>
      <w:r>
        <w:t>Registrar expurgo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 </w:t>
      </w:r>
      <w:r>
        <w:t>Acessar o sistema SIHRO com login e senha;</w:t>
      </w:r>
      <w:r>
        <w:br/>
      </w:r>
      <w:r>
        <w:t>Tarefa 2:</w:t>
      </w:r>
      <w:r>
        <w:t xml:space="preserve"> Abrir a aba de estoque de bolsas do Controle de Qualidade (bolsas que foram distribuídas para o Controle);</w:t>
      </w:r>
      <w:r>
        <w:br/>
      </w:r>
      <w:r>
        <w:t>Observação: </w:t>
      </w:r>
      <w:r>
        <w:br/>
      </w:r>
      <w:r>
        <w:t>1 - </w:t>
      </w:r>
      <w:r>
        <w:t>Para registrar o expurgo da bolsa, o técnico deve antes dar um aceite para confirmar que a bolsa está no estoque do Controle de Qualidade.</w:t>
      </w:r>
      <w:r>
        <w:br/>
      </w:r>
      <w:r>
        <w:t xml:space="preserve">Tarefa 3: </w:t>
      </w:r>
      <w:r>
        <w:t>Selecionar a bolsa de plasma a ser expurgada no sistema  SIHRO;</w:t>
      </w:r>
      <w:r>
        <w:br/>
      </w:r>
      <w:r>
        <w:t>Observação: </w:t>
      </w:r>
      <w:r>
        <w:br/>
      </w:r>
      <w:r>
        <w:t xml:space="preserve">1 -  </w:t>
      </w:r>
      <w:r>
        <w:t>Ao acessar o estoque de bolsas distribuídas do Controle de Qualidade, o técnico conseguirá selecionar a bolsa a ser expurgada;</w:t>
      </w:r>
      <w:r>
        <w:br/>
      </w:r>
      <w:r>
        <w:t>Tarefa 4:</w:t>
      </w:r>
      <w:r>
        <w:t> Assinalar motivo de expurgo;</w:t>
      </w:r>
      <w:r>
        <w:br/>
      </w:r>
      <w:r>
        <w:t>Observações:</w:t>
      </w:r>
      <w:r>
        <w:br/>
      </w:r>
      <w:r>
        <w:t>1 - </w:t>
      </w:r>
      <w:r>
        <w:t>O sistema SIHRO terá os motivos dos descartes cadastrados, onde o técnico responsável deverá assinalar o motivo do expurgo;</w:t>
      </w:r>
      <w:r>
        <w:br/>
      </w:r>
      <w:r>
        <w:t xml:space="preserve">· </w:t>
      </w:r>
      <w:r>
        <w:t>Coloração atípica (lipemia, icterícia, hemólise)</w:t>
      </w:r>
      <w:r>
        <w:br/>
      </w:r>
      <w:r>
        <w:t xml:space="preserve">· </w:t>
      </w:r>
      <w:r>
        <w:t>Presença de fibrina</w:t>
      </w:r>
      <w:r>
        <w:br/>
      </w:r>
      <w:r>
        <w:t xml:space="preserve">· </w:t>
      </w:r>
      <w:r>
        <w:t>Presença de hemácias</w:t>
      </w:r>
      <w:r>
        <w:br/>
      </w:r>
      <w:r>
        <w:t xml:space="preserve">· </w:t>
      </w:r>
      <w:r>
        <w:t>Presença de vazamento</w:t>
      </w:r>
      <w:r>
        <w:t> </w:t>
      </w:r>
      <w:r>
        <w:br/>
      </w:r>
      <w:r>
        <w:t xml:space="preserve">2 - </w:t>
      </w:r>
      <w:r>
        <w:t>O sistema SIHRO terá um campo para registrar observações, caso necessário.</w:t>
      </w:r>
      <w:r>
        <w:br/>
      </w:r>
      <w:r>
        <w:t xml:space="preserve">Tarefa 5: </w:t>
      </w:r>
      <w:r>
        <w:t>Clicar em expurgar bolsa;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1 - </w:t>
      </w:r>
      <w:r>
        <w:t>Na aba de registro de expurgo do sistema SIHRO, deve ter a opção de gerar relatórios de bolsas expurgadas.</w:t>
      </w:r>
      <w:r>
        <w:br/>
      </w:r>
      <w:r>
        <w:t xml:space="preserve">Tarefa 4: </w:t>
      </w:r>
      <w:r>
        <w:t>Descartar bolsa plasma em lixo específico.</w:t>
      </w:r>
      <w:r>
        <w:br/>
      </w:r>
      <w:r>
        <w:br/>
      </w:r>
      <w:r>
        <w:t>Por que essa atividade acontece?</w:t>
      </w:r>
      <w:r>
        <w:br/>
      </w:r>
      <w:r>
        <w:t>Essa atividade acontece porque  é necessário ter um registro do expurgo da bolsa para fins de rastreabilidade e a bolsa inconforme será expurgada em lixo específico.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drawing>
          <wp:inline>
            <wp:extent cx="5612130" cy="3199156"/>
            <wp:docPr id="10002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11868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99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i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19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168.53pt;height:46.21pt" stroked="f">
          <v:imagedata r:id="rId1" o:title=""/>
        </v:shape>
      </w:pict>
    </w:r>
    <w:r>
      <w:rPr>
        <w:noProof/>
      </w:rPr>
      <w:pict>
        <v:shape id="Picture 18" o:spid="_x0000_s2050" type="#_x0000_t75" style="width:602.95pt;height:432.85pt;margin-top:-35.25pt;margin-left:-84.45pt;mso-height-relative:margin;mso-width-relative:margin;position:absolute;visibility:visible;z-index:-251655168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96.61pt;height:26.43pt" stroked="f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335C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310A"/>
    <w:rsid w:val="00734243"/>
    <w:rsid w:val="00743611"/>
    <w:rsid w:val="00753E90"/>
    <w:rsid w:val="00760E2F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6FC5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A79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57DBB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820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95652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Ttulo1C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Ttulo2C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Ttulo3C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Ttulo4C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Ttulo5C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Ttulo6C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Ttulo1Car">
    <w:name w:val="Título 1 C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EncabezadoC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PiedepginaC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TextoindependienteC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1">
    <w:name w:val="Lista1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TextodegloboC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EncabezadoCar">
    <w:name w:val="Encabezado C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Ttulo2Car">
    <w:name w:val="Título 2 C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TextoindependienteCar">
    <w:name w:val="Texto independiente C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Ttulo3Car">
    <w:name w:val="Título 3 C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Ttulo4Car">
    <w:name w:val="Título 4 C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Ttulo5Car">
    <w:name w:val="Título 5 C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PiedepginaCar">
    <w:name w:val="Pie de página C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Ttulo6Car">
    <w:name w:val="Título 6 C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SinespaciadoC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SinespaciadoCar">
    <w:name w:val="Sin espaciado C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tuloC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tuloCar">
    <w:name w:val="Título C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tuloC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tuloCar">
    <w:name w:val="Subtítulo C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header" Target="header2.xml" /><Relationship Id="rId15" Type="http://schemas.openxmlformats.org/officeDocument/2006/relationships/header" Target="header3.xml" /><Relationship Id="rId16" Type="http://schemas.openxmlformats.org/officeDocument/2006/relationships/footer" Target="footer4.xml" /><Relationship Id="rId17" Type="http://schemas.openxmlformats.org/officeDocument/2006/relationships/header" Target="header4.xml" /><Relationship Id="rId18" Type="http://schemas.openxmlformats.org/officeDocument/2006/relationships/image" Target="media/image9.emf" /><Relationship Id="rId19" Type="http://schemas.openxmlformats.org/officeDocument/2006/relationships/image" Target="media/image10.png" /><Relationship Id="rId2" Type="http://schemas.openxmlformats.org/officeDocument/2006/relationships/webSettings" Target="webSettings.xml" /><Relationship Id="rId20" Type="http://schemas.openxmlformats.org/officeDocument/2006/relationships/image" Target="media/image11.png" /><Relationship Id="rId21" Type="http://schemas.openxmlformats.org/officeDocument/2006/relationships/image" Target="media/image12.png" /><Relationship Id="rId22" Type="http://schemas.openxmlformats.org/officeDocument/2006/relationships/image" Target="media/image13.png" /><Relationship Id="rId23" Type="http://schemas.openxmlformats.org/officeDocument/2006/relationships/image" Target="media/image14.png" /><Relationship Id="rId24" Type="http://schemas.openxmlformats.org/officeDocument/2006/relationships/image" Target="media/image15.png" /><Relationship Id="rId25" Type="http://schemas.openxmlformats.org/officeDocument/2006/relationships/image" Target="media/image16.png" /><Relationship Id="rId26" Type="http://schemas.openxmlformats.org/officeDocument/2006/relationships/image" Target="media/image17.png" /><Relationship Id="rId27" Type="http://schemas.openxmlformats.org/officeDocument/2006/relationships/numbering" Target="numbering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7.png" /><Relationship Id="rId2" Type="http://schemas.openxmlformats.org/officeDocument/2006/relationships/image" Target="media/image8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19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2014-03-13T20:06:00Z</dcterms:created>
  <dcterms:modified xsi:type="dcterms:W3CDTF">2021-06-30T16:18:00Z</dcterms:modified>
</cp:coreProperties>
</file>