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3 -->
  <w:body>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izTitle"/>
        <w:jc w:val="right"/>
      </w:pPr>
      <w:bookmarkStart w:id="0" w:name="_Toc256000000"/>
      <w:r w:rsidRPr="00275F9A">
        <w:t>Redesenhos dos fluxos de tratamento e distribuição da bolsas de hemocomponentes (ciclo do sangue) 2.0</w:t>
      </w:r>
      <w:bookmarkEnd w:id="0"/>
    </w:p>
    <w:p w:rsidR="00B603BE" w:rsidRPr="00275F9A" w:rsidP="00032CAE">
      <w:pPr>
        <w:pStyle w:val="bizSubtitle"/>
        <w:jc w:val="right"/>
      </w:pPr>
      <w:bookmarkStart w:id="1" w:name="_Toc256000001"/>
      <w:r w:rsidRPr="00275F9A">
        <w:t>Bizagi Modeler</w:t>
      </w:r>
      <w:bookmarkEnd w:id="1"/>
    </w:p>
    <w:p w:rsidR="00B603BE" w:rsidRPr="00275F9A">
      <w:pPr>
        <w:sectPr w:rsidSect="00503EE8">
          <w:headerReference w:type="default" r:id="rId6"/>
          <w:footerReference w:type="even" r:id="rId7"/>
          <w:footerReference w:type="default" r:id="rId8"/>
          <w:footerReference w:type="first" r:id="rId9"/>
          <w:pgSz w:w="12240" w:h="15840" w:code="1"/>
          <w:pgMar w:top="1616" w:right="1701" w:bottom="1418" w:left="1701" w:header="709" w:footer="255" w:gutter="0"/>
          <w:cols w:space="708"/>
          <w:docGrid w:linePitch="360"/>
        </w:sectPr>
      </w:pPr>
    </w:p>
    <w:p w:rsidR="00AE3ACF" w:rsidRPr="008D2D31" w:rsidP="00854218">
      <w:pPr>
        <w:jc w:val="center"/>
      </w:pPr>
      <w:r w:rsidRPr="008D2D31">
        <w:t>Índice</w:t>
      </w:r>
      <w:r w:rsidRPr="008D2D31">
        <w:fldChar w:fldCharType="begin"/>
      </w:r>
      <w:r w:rsidRPr="008D2D31">
        <w:instrText>TOC \o "1-4" \h \z \u</w:instrText>
      </w:r>
      <w:r w:rsidRPr="008D2D31">
        <w:fldChar w:fldCharType="separate"/>
      </w:r>
    </w:p>
    <w:p>
      <w:pPr>
        <w:pStyle w:val="TOC1"/>
        <w:tabs>
          <w:tab w:val="right" w:leader="dot" w:pos="8828"/>
        </w:tabs>
        <w:rPr>
          <w:rFonts w:ascii="Calibri" w:hAnsi="Calibri"/>
          <w:noProof/>
          <w:sz w:val="22"/>
        </w:rPr>
      </w:pPr>
      <w:hyperlink w:anchor="_Toc256000000" w:history="1">
        <w:r w:rsidRPr="00275F9A" w:rsidR="00B603BE">
          <w:rPr>
            <w:rStyle w:val="Hyperlink"/>
          </w:rPr>
          <w:t>Redesenhos dos fluxos de tratamento e distribuição da bolsas de hemocomponentes (ciclo do sangue) 2.0</w:t>
        </w:r>
        <w:r>
          <w:tab/>
        </w:r>
        <w:r>
          <w:fldChar w:fldCharType="begin"/>
        </w:r>
        <w:r>
          <w:instrText xml:space="preserve"> PAGEREF _Toc256000000 \h </w:instrText>
        </w:r>
        <w:r>
          <w:fldChar w:fldCharType="separate"/>
        </w:r>
        <w:r>
          <w:t>1</w:t>
        </w:r>
        <w:r>
          <w:fldChar w:fldCharType="end"/>
        </w:r>
      </w:hyperlink>
    </w:p>
    <w:p>
      <w:pPr>
        <w:pStyle w:val="TOC2"/>
        <w:rPr>
          <w:rFonts w:ascii="Calibri" w:hAnsi="Calibri"/>
          <w:noProof/>
          <w:sz w:val="22"/>
        </w:rPr>
      </w:pPr>
      <w:hyperlink w:anchor="_Toc256000001" w:history="1">
        <w:r w:rsidRPr="00275F9A" w:rsidR="00B603BE">
          <w:rPr>
            <w:rStyle w:val="Hyperlink"/>
          </w:rPr>
          <w:t>Bizagi Modeler</w:t>
        </w:r>
        <w:r>
          <w:tab/>
        </w:r>
        <w:r>
          <w:fldChar w:fldCharType="begin"/>
        </w:r>
        <w:r>
          <w:instrText xml:space="preserve"> PAGEREF _Toc256000001 \h </w:instrText>
        </w:r>
        <w:r>
          <w:fldChar w:fldCharType="separate"/>
        </w:r>
        <w:r>
          <w:t>2</w:t>
        </w:r>
        <w:r>
          <w:fldChar w:fldCharType="end"/>
        </w:r>
      </w:hyperlink>
    </w:p>
    <w:p>
      <w:pPr>
        <w:pStyle w:val="TOC1"/>
        <w:tabs>
          <w:tab w:val="left" w:pos="403"/>
          <w:tab w:val="right" w:leader="dot" w:pos="8828"/>
        </w:tabs>
        <w:rPr>
          <w:rFonts w:ascii="Calibri" w:hAnsi="Calibri"/>
          <w:noProof/>
          <w:sz w:val="22"/>
        </w:rPr>
      </w:pPr>
      <w:hyperlink w:anchor="_Toc256000002" w:history="1">
        <w:r>
          <w:rPr>
            <w:rStyle w:val="Hyperlink"/>
          </w:rPr>
          <w:t>1</w:t>
        </w:r>
        <w:r>
          <w:rPr>
            <w:rFonts w:ascii="Calibri" w:hAnsi="Calibri"/>
            <w:noProof/>
            <w:sz w:val="22"/>
          </w:rPr>
          <w:tab/>
        </w:r>
        <w:r>
          <w:rPr>
            <w:rStyle w:val="Hyperlink"/>
          </w:rPr>
          <w:t>TO BE - Sorologia</w:t>
        </w:r>
        <w:r>
          <w:tab/>
        </w:r>
        <w:r>
          <w:fldChar w:fldCharType="begin"/>
        </w:r>
        <w:r>
          <w:instrText xml:space="preserve"> PAGEREF _Toc256000002 \h </w:instrText>
        </w:r>
        <w:r>
          <w:fldChar w:fldCharType="separate"/>
        </w:r>
        <w:r>
          <w:t>4</w:t>
        </w:r>
        <w:r>
          <w:fldChar w:fldCharType="end"/>
        </w:r>
      </w:hyperlink>
    </w:p>
    <w:p>
      <w:pPr>
        <w:pStyle w:val="TOC2"/>
        <w:tabs>
          <w:tab w:val="left" w:pos="800"/>
        </w:tabs>
        <w:rPr>
          <w:rFonts w:ascii="Calibri" w:hAnsi="Calibri"/>
          <w:noProof/>
          <w:sz w:val="22"/>
        </w:rPr>
      </w:pPr>
      <w:hyperlink w:anchor="_Toc256000003" w:history="1">
        <w:r>
          <w:rPr>
            <w:rStyle w:val="Hyperlink"/>
          </w:rPr>
          <w:t>1.1</w:t>
        </w:r>
        <w:r>
          <w:rPr>
            <w:rFonts w:ascii="Calibri" w:hAnsi="Calibri"/>
            <w:noProof/>
            <w:sz w:val="22"/>
          </w:rPr>
          <w:tab/>
        </w:r>
        <w:r>
          <w:rPr>
            <w:rStyle w:val="Hyperlink"/>
          </w:rPr>
          <w:t>Gestão de Laboratório - SOROLOGIA</w:t>
        </w:r>
        <w:r>
          <w:tab/>
        </w:r>
        <w:r>
          <w:fldChar w:fldCharType="begin"/>
        </w:r>
        <w:r>
          <w:instrText xml:space="preserve"> PAGEREF _Toc256000003 \h </w:instrText>
        </w:r>
        <w:r>
          <w:fldChar w:fldCharType="separate"/>
        </w:r>
        <w:r>
          <w:t>7</w:t>
        </w:r>
        <w:r>
          <w:fldChar w:fldCharType="end"/>
        </w:r>
      </w:hyperlink>
    </w:p>
    <w:p>
      <w:pPr>
        <w:pStyle w:val="TOC3"/>
        <w:rPr>
          <w:rFonts w:ascii="Calibri" w:hAnsi="Calibri"/>
          <w:noProof/>
          <w:sz w:val="22"/>
        </w:rPr>
      </w:pPr>
      <w:hyperlink w:anchor="_Toc256000004" w:history="1">
        <w:r>
          <w:rPr>
            <w:rStyle w:val="Hyperlink"/>
          </w:rPr>
          <w:t>1.1.1</w:t>
        </w:r>
        <w:r>
          <w:rPr>
            <w:rFonts w:ascii="Calibri" w:hAnsi="Calibri"/>
            <w:noProof/>
            <w:sz w:val="22"/>
          </w:rPr>
          <w:tab/>
        </w:r>
        <w:r>
          <w:rPr>
            <w:rStyle w:val="Hyperlink"/>
          </w:rPr>
          <w:t>Elementos do processo</w:t>
        </w:r>
        <w:r>
          <w:tab/>
        </w:r>
        <w:r>
          <w:fldChar w:fldCharType="begin"/>
        </w:r>
        <w:r>
          <w:instrText xml:space="preserve"> PAGEREF _Toc256000004 \h </w:instrText>
        </w:r>
        <w:r>
          <w:fldChar w:fldCharType="separate"/>
        </w:r>
        <w:r>
          <w:t>7</w:t>
        </w:r>
        <w:r>
          <w:fldChar w:fldCharType="end"/>
        </w:r>
      </w:hyperlink>
    </w:p>
    <w:p>
      <w:pPr>
        <w:pStyle w:val="TOC4"/>
        <w:rPr>
          <w:rFonts w:ascii="Calibri" w:hAnsi="Calibri"/>
          <w:noProof/>
          <w:sz w:val="22"/>
        </w:rPr>
      </w:pPr>
      <w:hyperlink w:anchor="_Toc256000005" w:history="1">
        <w:r>
          <w:rPr>
            <w:rStyle w:val="Hyperlink"/>
          </w:rPr>
          <w:t>1.1.1.1</w:t>
        </w:r>
        <w:r>
          <w:rPr>
            <w:rFonts w:ascii="Calibri" w:hAnsi="Calibri"/>
            <w:noProof/>
            <w:sz w:val="22"/>
          </w:rPr>
          <w:tab/>
        </w:r>
        <w:r>
          <w:drawing>
            <wp:inline>
              <wp:extent cx="152421" cy="152421"/>
              <wp:docPr id="1000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145067"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1. Organizar as amostras</w:t>
        </w:r>
        <w:r>
          <w:tab/>
        </w:r>
        <w:r>
          <w:fldChar w:fldCharType="begin"/>
        </w:r>
        <w:r>
          <w:instrText xml:space="preserve"> PAGEREF _Toc256000005 \h </w:instrText>
        </w:r>
        <w:r>
          <w:fldChar w:fldCharType="separate"/>
        </w:r>
        <w:r>
          <w:t>7</w:t>
        </w:r>
        <w:r>
          <w:fldChar w:fldCharType="end"/>
        </w:r>
      </w:hyperlink>
    </w:p>
    <w:p>
      <w:pPr>
        <w:pStyle w:val="TOC4"/>
        <w:rPr>
          <w:rFonts w:ascii="Calibri" w:hAnsi="Calibri"/>
          <w:noProof/>
          <w:sz w:val="22"/>
        </w:rPr>
      </w:pPr>
      <w:hyperlink w:anchor="_Toc256000006" w:history="1">
        <w:r>
          <w:rPr>
            <w:rStyle w:val="Hyperlink"/>
          </w:rPr>
          <w:t>1.1.1.2</w:t>
        </w:r>
        <w:r>
          <w:rPr>
            <w:rFonts w:ascii="Calibri" w:hAnsi="Calibri"/>
            <w:noProof/>
            <w:sz w:val="22"/>
          </w:rPr>
          <w:tab/>
        </w:r>
        <w:r>
          <w:drawing>
            <wp:inline>
              <wp:extent cx="152421" cy="152421"/>
              <wp:docPr id="1000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94306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2. Cadastrar amostras no Architech Plus</w:t>
        </w:r>
        <w:r>
          <w:tab/>
        </w:r>
        <w:r>
          <w:fldChar w:fldCharType="begin"/>
        </w:r>
        <w:r>
          <w:instrText xml:space="preserve"> PAGEREF _Toc256000006 \h </w:instrText>
        </w:r>
        <w:r>
          <w:fldChar w:fldCharType="separate"/>
        </w:r>
        <w:r>
          <w:t>7</w:t>
        </w:r>
        <w:r>
          <w:fldChar w:fldCharType="end"/>
        </w:r>
      </w:hyperlink>
    </w:p>
    <w:p>
      <w:pPr>
        <w:pStyle w:val="TOC4"/>
        <w:rPr>
          <w:rFonts w:ascii="Calibri" w:hAnsi="Calibri"/>
          <w:noProof/>
          <w:sz w:val="22"/>
        </w:rPr>
      </w:pPr>
      <w:hyperlink w:anchor="_Toc256000007" w:history="1">
        <w:r>
          <w:rPr>
            <w:rStyle w:val="Hyperlink"/>
          </w:rPr>
          <w:t>1.1.1.3</w:t>
        </w:r>
        <w:r>
          <w:rPr>
            <w:rFonts w:ascii="Calibri" w:hAnsi="Calibri"/>
            <w:noProof/>
            <w:sz w:val="22"/>
          </w:rPr>
          <w:tab/>
        </w:r>
        <w:r>
          <w:drawing>
            <wp:inline>
              <wp:extent cx="152421" cy="152421"/>
              <wp:docPr id="1000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474797"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3. Importar resultados para o SIHRO</w:t>
        </w:r>
        <w:r>
          <w:tab/>
        </w:r>
        <w:r>
          <w:fldChar w:fldCharType="begin"/>
        </w:r>
        <w:r>
          <w:instrText xml:space="preserve"> PAGEREF _Toc256000007 \h </w:instrText>
        </w:r>
        <w:r>
          <w:fldChar w:fldCharType="separate"/>
        </w:r>
        <w:r>
          <w:t>8</w:t>
        </w:r>
        <w:r>
          <w:fldChar w:fldCharType="end"/>
        </w:r>
      </w:hyperlink>
    </w:p>
    <w:p>
      <w:pPr>
        <w:pStyle w:val="TOC4"/>
        <w:rPr>
          <w:rFonts w:ascii="Calibri" w:hAnsi="Calibri"/>
          <w:noProof/>
          <w:sz w:val="22"/>
        </w:rPr>
      </w:pPr>
      <w:hyperlink w:anchor="_Toc256000008" w:history="1">
        <w:r>
          <w:rPr>
            <w:rStyle w:val="Hyperlink"/>
          </w:rPr>
          <w:t>1.1.1.4</w:t>
        </w:r>
        <w:r>
          <w:rPr>
            <w:rFonts w:ascii="Calibri" w:hAnsi="Calibri"/>
            <w:noProof/>
            <w:sz w:val="22"/>
          </w:rPr>
          <w:tab/>
        </w:r>
        <w:r>
          <w:drawing>
            <wp:inline>
              <wp:extent cx="152421" cy="152421"/>
              <wp:docPr id="1000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168214"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4. Confirmar parâmetros diário</w:t>
        </w:r>
        <w:r>
          <w:tab/>
        </w:r>
        <w:r>
          <w:fldChar w:fldCharType="begin"/>
        </w:r>
        <w:r>
          <w:instrText xml:space="preserve"> PAGEREF _Toc256000008 \h </w:instrText>
        </w:r>
        <w:r>
          <w:fldChar w:fldCharType="separate"/>
        </w:r>
        <w:r>
          <w:t>9</w:t>
        </w:r>
        <w:r>
          <w:fldChar w:fldCharType="end"/>
        </w:r>
      </w:hyperlink>
    </w:p>
    <w:p>
      <w:pPr>
        <w:pStyle w:val="TOC4"/>
        <w:rPr>
          <w:rFonts w:ascii="Calibri" w:hAnsi="Calibri"/>
          <w:noProof/>
          <w:sz w:val="22"/>
        </w:rPr>
      </w:pPr>
      <w:hyperlink w:anchor="_Toc256000009" w:history="1">
        <w:r>
          <w:rPr>
            <w:rStyle w:val="Hyperlink"/>
          </w:rPr>
          <w:t>1.1.1.5</w:t>
        </w:r>
        <w:r>
          <w:rPr>
            <w:rFonts w:ascii="Calibri" w:hAnsi="Calibri"/>
            <w:noProof/>
            <w:sz w:val="22"/>
          </w:rPr>
          <w:tab/>
        </w:r>
        <w:r>
          <w:drawing>
            <wp:inline>
              <wp:extent cx="152421" cy="152421"/>
              <wp:docPr id="1000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076497"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5. Verificar resultados dos exames</w:t>
        </w:r>
        <w:r>
          <w:tab/>
        </w:r>
        <w:r>
          <w:fldChar w:fldCharType="begin"/>
        </w:r>
        <w:r>
          <w:instrText xml:space="preserve"> PAGEREF _Toc256000009 \h </w:instrText>
        </w:r>
        <w:r>
          <w:fldChar w:fldCharType="separate"/>
        </w:r>
        <w:r>
          <w:t>10</w:t>
        </w:r>
        <w:r>
          <w:fldChar w:fldCharType="end"/>
        </w:r>
      </w:hyperlink>
    </w:p>
    <w:p>
      <w:pPr>
        <w:pStyle w:val="TOC4"/>
        <w:rPr>
          <w:rFonts w:ascii="Calibri" w:hAnsi="Calibri"/>
          <w:noProof/>
          <w:sz w:val="22"/>
        </w:rPr>
      </w:pPr>
      <w:hyperlink w:anchor="_Toc256000010" w:history="1">
        <w:r>
          <w:rPr>
            <w:rStyle w:val="Hyperlink"/>
          </w:rPr>
          <w:t>1.1.1.6</w:t>
        </w:r>
        <w:r>
          <w:rPr>
            <w:rFonts w:ascii="Calibri" w:hAnsi="Calibri"/>
            <w:noProof/>
            <w:sz w:val="22"/>
          </w:rPr>
          <w:tab/>
        </w:r>
        <w:r>
          <w:drawing>
            <wp:inline>
              <wp:extent cx="152421" cy="152421"/>
              <wp:docPr id="1000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278742"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6. Realizar reteste</w:t>
        </w:r>
        <w:r>
          <w:tab/>
        </w:r>
        <w:r>
          <w:fldChar w:fldCharType="begin"/>
        </w:r>
        <w:r>
          <w:instrText xml:space="preserve"> PAGEREF _Toc256000010 \h </w:instrText>
        </w:r>
        <w:r>
          <w:fldChar w:fldCharType="separate"/>
        </w:r>
        <w:r>
          <w:t>10</w:t>
        </w:r>
        <w:r>
          <w:fldChar w:fldCharType="end"/>
        </w:r>
      </w:hyperlink>
    </w:p>
    <w:p>
      <w:pPr>
        <w:pStyle w:val="TOC4"/>
        <w:rPr>
          <w:rFonts w:ascii="Calibri" w:hAnsi="Calibri"/>
          <w:noProof/>
          <w:sz w:val="22"/>
        </w:rPr>
      </w:pPr>
      <w:hyperlink w:anchor="_Toc256000011" w:history="1">
        <w:r>
          <w:rPr>
            <w:rStyle w:val="Hyperlink"/>
          </w:rPr>
          <w:t>1.1.1.7</w:t>
        </w:r>
        <w:r>
          <w:rPr>
            <w:rFonts w:ascii="Calibri" w:hAnsi="Calibri"/>
            <w:noProof/>
            <w:sz w:val="22"/>
          </w:rPr>
          <w:tab/>
        </w:r>
        <w:r>
          <w:drawing>
            <wp:inline>
              <wp:extent cx="152421" cy="152421"/>
              <wp:docPr id="1000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059031"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Divulgar</w:t>
        </w:r>
        <w:r>
          <w:tab/>
        </w:r>
        <w:r>
          <w:fldChar w:fldCharType="begin"/>
        </w:r>
        <w:r>
          <w:instrText xml:space="preserve"> PAGEREF _Toc256000011 \h </w:instrText>
        </w:r>
        <w:r>
          <w:fldChar w:fldCharType="separate"/>
        </w:r>
        <w:r>
          <w:t>11</w:t>
        </w:r>
        <w:r>
          <w:fldChar w:fldCharType="end"/>
        </w:r>
      </w:hyperlink>
    </w:p>
    <w:p>
      <w:pPr>
        <w:pStyle w:val="TOC4"/>
        <w:rPr>
          <w:rFonts w:ascii="Calibri" w:hAnsi="Calibri"/>
          <w:noProof/>
          <w:sz w:val="22"/>
        </w:rPr>
      </w:pPr>
      <w:hyperlink w:anchor="_Toc256000012" w:history="1">
        <w:r>
          <w:rPr>
            <w:rStyle w:val="Hyperlink"/>
          </w:rPr>
          <w:t>1.1.1.8</w:t>
        </w:r>
        <w:r>
          <w:rPr>
            <w:rFonts w:ascii="Calibri" w:hAnsi="Calibri"/>
            <w:noProof/>
            <w:sz w:val="22"/>
          </w:rPr>
          <w:tab/>
        </w:r>
        <w:r>
          <w:drawing>
            <wp:inline>
              <wp:extent cx="152421" cy="152421"/>
              <wp:docPr id="1000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796814"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2. Confirmar amostras - GSM NAT</w:t>
        </w:r>
        <w:r>
          <w:tab/>
        </w:r>
        <w:r>
          <w:fldChar w:fldCharType="begin"/>
        </w:r>
        <w:r>
          <w:instrText xml:space="preserve"> PAGEREF _Toc256000012 \h </w:instrText>
        </w:r>
        <w:r>
          <w:fldChar w:fldCharType="separate"/>
        </w:r>
        <w:r>
          <w:t>11</w:t>
        </w:r>
        <w:r>
          <w:fldChar w:fldCharType="end"/>
        </w:r>
      </w:hyperlink>
    </w:p>
    <w:p>
      <w:pPr>
        <w:pStyle w:val="TOC4"/>
        <w:rPr>
          <w:rFonts w:ascii="Calibri" w:hAnsi="Calibri"/>
          <w:noProof/>
          <w:sz w:val="22"/>
        </w:rPr>
      </w:pPr>
      <w:hyperlink w:anchor="_Toc256000013" w:history="1">
        <w:r>
          <w:rPr>
            <w:rStyle w:val="Hyperlink"/>
          </w:rPr>
          <w:t>1.1.1.9</w:t>
        </w:r>
        <w:r>
          <w:rPr>
            <w:rFonts w:ascii="Calibri" w:hAnsi="Calibri"/>
            <w:noProof/>
            <w:sz w:val="22"/>
          </w:rPr>
          <w:tab/>
        </w:r>
        <w:r>
          <w:drawing>
            <wp:inline>
              <wp:extent cx="152421" cy="152421"/>
              <wp:docPr id="1000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330946"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3. Organizar amostras para envio</w:t>
        </w:r>
        <w:r>
          <w:tab/>
        </w:r>
        <w:r>
          <w:fldChar w:fldCharType="begin"/>
        </w:r>
        <w:r>
          <w:instrText xml:space="preserve"> PAGEREF _Toc256000013 \h </w:instrText>
        </w:r>
        <w:r>
          <w:fldChar w:fldCharType="separate"/>
        </w:r>
        <w:r>
          <w:t>12</w:t>
        </w:r>
        <w:r>
          <w:fldChar w:fldCharType="end"/>
        </w:r>
      </w:hyperlink>
    </w:p>
    <w:p>
      <w:pPr>
        <w:pStyle w:val="TOC4"/>
        <w:rPr>
          <w:rFonts w:ascii="Calibri" w:hAnsi="Calibri"/>
          <w:noProof/>
          <w:sz w:val="22"/>
        </w:rPr>
      </w:pPr>
      <w:hyperlink w:anchor="_Toc256000014" w:history="1">
        <w:r>
          <w:rPr>
            <w:rStyle w:val="Hyperlink"/>
          </w:rPr>
          <w:t>1.1.1.10</w:t>
        </w:r>
        <w:r>
          <w:rPr>
            <w:rFonts w:ascii="Calibri" w:hAnsi="Calibri"/>
            <w:noProof/>
            <w:sz w:val="22"/>
          </w:rPr>
          <w:tab/>
        </w:r>
        <w:r>
          <w:drawing>
            <wp:inline>
              <wp:extent cx="152421" cy="152421"/>
              <wp:docPr id="1000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934404"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4. Importar resultados</w:t>
        </w:r>
        <w:r>
          <w:tab/>
        </w:r>
        <w:r>
          <w:fldChar w:fldCharType="begin"/>
        </w:r>
        <w:r>
          <w:instrText xml:space="preserve"> PAGEREF _Toc256000014 \h </w:instrText>
        </w:r>
        <w:r>
          <w:fldChar w:fldCharType="separate"/>
        </w:r>
        <w:r>
          <w:t>12</w:t>
        </w:r>
        <w:r>
          <w:fldChar w:fldCharType="end"/>
        </w:r>
      </w:hyperlink>
    </w:p>
    <w:p>
      <w:pPr>
        <w:pStyle w:val="TOC4"/>
        <w:rPr>
          <w:rFonts w:ascii="Calibri" w:hAnsi="Calibri"/>
          <w:noProof/>
          <w:sz w:val="22"/>
        </w:rPr>
      </w:pPr>
      <w:hyperlink w:anchor="_Toc256000015" w:history="1">
        <w:r>
          <w:rPr>
            <w:rStyle w:val="Hyperlink"/>
          </w:rPr>
          <w:t>1.1.1.11</w:t>
        </w:r>
        <w:r>
          <w:rPr>
            <w:rFonts w:ascii="Calibri" w:hAnsi="Calibri"/>
            <w:noProof/>
            <w:sz w:val="22"/>
          </w:rPr>
          <w:tab/>
        </w:r>
        <w:r>
          <w:drawing>
            <wp:inline>
              <wp:extent cx="152421" cy="152421"/>
              <wp:docPr id="1000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312832"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Liberar</w:t>
        </w:r>
        <w:r>
          <w:tab/>
        </w:r>
        <w:r>
          <w:fldChar w:fldCharType="begin"/>
        </w:r>
        <w:r>
          <w:instrText xml:space="preserve"> PAGEREF _Toc256000015 \h </w:instrText>
        </w:r>
        <w:r>
          <w:fldChar w:fldCharType="separate"/>
        </w:r>
        <w:r>
          <w:t>13</w:t>
        </w:r>
        <w:r>
          <w:fldChar w:fldCharType="end"/>
        </w:r>
      </w:hyperlink>
    </w:p>
    <w:p>
      <w:pPr>
        <w:pStyle w:val="TOC4"/>
        <w:rPr>
          <w:rFonts w:ascii="Calibri" w:hAnsi="Calibri"/>
          <w:noProof/>
          <w:sz w:val="22"/>
        </w:rPr>
      </w:pPr>
      <w:hyperlink w:anchor="_Toc256000016" w:history="1">
        <w:r>
          <w:rPr>
            <w:rStyle w:val="Hyperlink"/>
          </w:rPr>
          <w:t>1.1.1.12</w:t>
        </w:r>
        <w:r>
          <w:rPr>
            <w:rFonts w:ascii="Calibri" w:hAnsi="Calibri"/>
            <w:noProof/>
            <w:sz w:val="22"/>
          </w:rPr>
          <w:tab/>
        </w:r>
        <w:r>
          <w:drawing>
            <wp:inline>
              <wp:extent cx="152421" cy="152421"/>
              <wp:docPr id="1000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957896"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1. Emitir memorando</w:t>
        </w:r>
        <w:r>
          <w:tab/>
        </w:r>
        <w:r>
          <w:fldChar w:fldCharType="begin"/>
        </w:r>
        <w:r>
          <w:instrText xml:space="preserve"> PAGEREF _Toc256000016 \h </w:instrText>
        </w:r>
        <w:r>
          <w:fldChar w:fldCharType="separate"/>
        </w:r>
        <w:r>
          <w:t>13</w:t>
        </w:r>
        <w:r>
          <w:fldChar w:fldCharType="end"/>
        </w:r>
      </w:hyperlink>
    </w:p>
    <w:p>
      <w:pPr>
        <w:pStyle w:val="TOC4"/>
        <w:rPr>
          <w:rFonts w:ascii="Calibri" w:hAnsi="Calibri"/>
          <w:noProof/>
          <w:sz w:val="22"/>
        </w:rPr>
      </w:pPr>
      <w:hyperlink w:anchor="_Toc256000017" w:history="1">
        <w:r>
          <w:rPr>
            <w:rStyle w:val="Hyperlink"/>
          </w:rPr>
          <w:t>1.1.1.13</w:t>
        </w:r>
        <w:r>
          <w:rPr>
            <w:rFonts w:ascii="Calibri" w:hAnsi="Calibri"/>
            <w:noProof/>
            <w:sz w:val="22"/>
          </w:rPr>
          <w:tab/>
        </w:r>
        <w:r>
          <w:drawing>
            <wp:inline>
              <wp:extent cx="152421" cy="152421"/>
              <wp:docPr id="1000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913049"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Liberar</w:t>
        </w:r>
        <w:r>
          <w:tab/>
        </w:r>
        <w:r>
          <w:fldChar w:fldCharType="begin"/>
        </w:r>
        <w:r>
          <w:instrText xml:space="preserve"> PAGEREF _Toc256000017 \h </w:instrText>
        </w:r>
        <w:r>
          <w:fldChar w:fldCharType="separate"/>
        </w:r>
        <w:r>
          <w:t>14</w:t>
        </w:r>
        <w:r>
          <w:fldChar w:fldCharType="end"/>
        </w:r>
      </w:hyperlink>
    </w:p>
    <w:p>
      <w:pPr>
        <w:pStyle w:val="TOC4"/>
        <w:rPr>
          <w:rFonts w:ascii="Calibri" w:hAnsi="Calibri"/>
          <w:noProof/>
          <w:sz w:val="22"/>
        </w:rPr>
      </w:pPr>
      <w:hyperlink w:anchor="_Toc256000018" w:history="1">
        <w:r>
          <w:rPr>
            <w:rStyle w:val="Hyperlink"/>
          </w:rPr>
          <w:t>1.1.1.14</w:t>
        </w:r>
        <w:r>
          <w:rPr>
            <w:rFonts w:ascii="Calibri" w:hAnsi="Calibri"/>
            <w:noProof/>
            <w:sz w:val="22"/>
          </w:rPr>
          <w:tab/>
        </w:r>
        <w:r>
          <w:drawing>
            <wp:inline>
              <wp:extent cx="152421" cy="152421"/>
              <wp:docPr id="1000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556712"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7. Liberar amostras</w:t>
        </w:r>
        <w:r>
          <w:tab/>
        </w:r>
        <w:r>
          <w:fldChar w:fldCharType="begin"/>
        </w:r>
        <w:r>
          <w:instrText xml:space="preserve"> PAGEREF _Toc256000018 \h </w:instrText>
        </w:r>
        <w:r>
          <w:fldChar w:fldCharType="separate"/>
        </w:r>
        <w:r>
          <w:t>14</w:t>
        </w:r>
        <w:r>
          <w:fldChar w:fldCharType="end"/>
        </w:r>
      </w:hyperlink>
    </w:p>
    <w:p>
      <w:pPr>
        <w:pStyle w:val="TOC4"/>
        <w:rPr>
          <w:rFonts w:ascii="Calibri" w:hAnsi="Calibri"/>
          <w:noProof/>
          <w:sz w:val="22"/>
        </w:rPr>
      </w:pPr>
      <w:hyperlink w:anchor="_Toc256000019" w:history="1">
        <w:r>
          <w:rPr>
            <w:rStyle w:val="Hyperlink"/>
          </w:rPr>
          <w:t>1.1.1.15</w:t>
        </w:r>
        <w:r>
          <w:rPr>
            <w:rFonts w:ascii="Calibri" w:hAnsi="Calibri"/>
            <w:noProof/>
            <w:sz w:val="22"/>
          </w:rPr>
          <w:tab/>
        </w:r>
        <w:r>
          <w:drawing>
            <wp:inline>
              <wp:extent cx="152421" cy="152421"/>
              <wp:docPr id="1000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175772"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Divulgar</w:t>
        </w:r>
        <w:r>
          <w:tab/>
        </w:r>
        <w:r>
          <w:fldChar w:fldCharType="begin"/>
        </w:r>
        <w:r>
          <w:instrText xml:space="preserve"> PAGEREF _Toc256000019 \h </w:instrText>
        </w:r>
        <w:r>
          <w:fldChar w:fldCharType="separate"/>
        </w:r>
        <w:r>
          <w:t>14</w:t>
        </w:r>
        <w:r>
          <w:fldChar w:fldCharType="end"/>
        </w:r>
      </w:hyperlink>
    </w:p>
    <w:p>
      <w:pPr>
        <w:pStyle w:val="TOC4"/>
        <w:rPr>
          <w:rFonts w:ascii="Calibri" w:hAnsi="Calibri"/>
          <w:noProof/>
          <w:sz w:val="22"/>
        </w:rPr>
      </w:pPr>
      <w:hyperlink w:anchor="_Toc256000020" w:history="1">
        <w:r>
          <w:rPr>
            <w:rStyle w:val="Hyperlink"/>
          </w:rPr>
          <w:t>1.1.1.16</w:t>
        </w:r>
        <w:r>
          <w:rPr>
            <w:rFonts w:ascii="Calibri" w:hAnsi="Calibri"/>
            <w:noProof/>
            <w:sz w:val="22"/>
          </w:rPr>
          <w:tab/>
        </w:r>
        <w:r>
          <w:drawing>
            <wp:inline>
              <wp:extent cx="152421" cy="152421"/>
              <wp:docPr id="1000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836055"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8. Divulgar resultados</w:t>
        </w:r>
        <w:r>
          <w:tab/>
        </w:r>
        <w:r>
          <w:fldChar w:fldCharType="begin"/>
        </w:r>
        <w:r>
          <w:instrText xml:space="preserve"> PAGEREF _Toc256000020 \h </w:instrText>
        </w:r>
        <w:r>
          <w:fldChar w:fldCharType="separate"/>
        </w:r>
        <w:r>
          <w:t>14</w:t>
        </w:r>
        <w:r>
          <w:fldChar w:fldCharType="end"/>
        </w:r>
      </w:hyperlink>
    </w:p>
    <w:p>
      <w:pPr>
        <w:pStyle w:val="TOC4"/>
        <w:rPr>
          <w:rFonts w:ascii="Calibri" w:hAnsi="Calibri"/>
          <w:noProof/>
          <w:sz w:val="22"/>
        </w:rPr>
      </w:pPr>
      <w:hyperlink w:anchor="_Toc256000021" w:history="1">
        <w:r>
          <w:rPr>
            <w:rStyle w:val="Hyperlink"/>
          </w:rPr>
          <w:t>1.1.1.17</w:t>
        </w:r>
        <w:r>
          <w:rPr>
            <w:rFonts w:ascii="Calibri" w:hAnsi="Calibri"/>
            <w:noProof/>
            <w:sz w:val="22"/>
          </w:rPr>
          <w:tab/>
        </w:r>
        <w:r>
          <w:drawing>
            <wp:inline>
              <wp:extent cx="152421" cy="152421"/>
              <wp:docPr id="1000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754"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1. Consultar exame</w:t>
        </w:r>
        <w:r>
          <w:tab/>
        </w:r>
        <w:r>
          <w:fldChar w:fldCharType="begin"/>
        </w:r>
        <w:r>
          <w:instrText xml:space="preserve"> PAGEREF _Toc256000021 \h </w:instrText>
        </w:r>
        <w:r>
          <w:fldChar w:fldCharType="separate"/>
        </w:r>
        <w:r>
          <w:t>16</w:t>
        </w:r>
        <w:r>
          <w:fldChar w:fldCharType="end"/>
        </w:r>
      </w:hyperlink>
    </w:p>
    <w:p>
      <w:pPr>
        <w:pStyle w:val="TOC4"/>
        <w:rPr>
          <w:rFonts w:ascii="Calibri" w:hAnsi="Calibri"/>
          <w:noProof/>
          <w:sz w:val="22"/>
        </w:rPr>
      </w:pPr>
      <w:hyperlink w:anchor="_Toc256000022" w:history="1">
        <w:r>
          <w:rPr>
            <w:rStyle w:val="Hyperlink"/>
          </w:rPr>
          <w:t>1.1.1.18</w:t>
        </w:r>
        <w:r>
          <w:rPr>
            <w:rFonts w:ascii="Calibri" w:hAnsi="Calibri"/>
            <w:noProof/>
            <w:sz w:val="22"/>
          </w:rPr>
          <w:tab/>
        </w:r>
        <w:r>
          <w:drawing>
            <wp:inline>
              <wp:extent cx="152421" cy="152421"/>
              <wp:docPr id="1000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191212"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Divulgar</w:t>
        </w:r>
        <w:r>
          <w:tab/>
        </w:r>
        <w:r>
          <w:fldChar w:fldCharType="begin"/>
        </w:r>
        <w:r>
          <w:instrText xml:space="preserve"> PAGEREF _Toc256000022 \h </w:instrText>
        </w:r>
        <w:r>
          <w:fldChar w:fldCharType="separate"/>
        </w:r>
        <w:r>
          <w:t>17</w:t>
        </w:r>
        <w:r>
          <w:fldChar w:fldCharType="end"/>
        </w:r>
      </w:hyperlink>
    </w:p>
    <w:p w:rsidR="00AE3ACF" w:rsidRPr="008D2D31" w:rsidP="00854218">
      <w:pPr>
        <w:jc w:val="center"/>
        <w:sectPr w:rsidSect="00503EE8">
          <w:headerReference w:type="even" r:id="rId14"/>
          <w:headerReference w:type="default" r:id="rId15"/>
          <w:footerReference w:type="default" r:id="rId16"/>
          <w:headerReference w:type="first" r:id="rId17"/>
          <w:pgSz w:w="12240" w:h="15840" w:code="1"/>
          <w:pgMar w:top="1616" w:right="1701" w:bottom="1418" w:left="1701" w:header="709" w:footer="255" w:gutter="0"/>
          <w:cols w:space="708"/>
          <w:docGrid w:linePitch="360"/>
        </w:sectPr>
      </w:pPr>
      <w:r w:rsidRPr="008D2D31">
        <w:fldChar w:fldCharType="end"/>
      </w:r>
    </w:p>
    <w:p>
      <w:pPr>
        <w:pStyle w:val="bizHeading1"/>
      </w:pPr>
      <w:bookmarkStart w:id="2" w:name="Id_6bad1ba6c25c4e1b861f51eac3a630fc"/>
      <w:bookmarkStart w:id="3" w:name="_Toc256000002"/>
      <w:r>
        <w:t>TO BE - Sorologia</w:t>
      </w:r>
      <w:bookmarkEnd w:id="3"/>
    </w:p>
    <w:p>
      <w:pPr>
        <w:jc w:val="center"/>
      </w:pPr>
      <w:bookmarkEnd w:id="2"/>
      <w:r>
        <w:drawing>
          <wp:inline>
            <wp:extent cx="7898130" cy="5704143"/>
            <wp:docPr id="1000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014119" name=""/>
                    <pic:cNvPicPr>
                      <a:picLocks noChangeAspect="1"/>
                    </pic:cNvPicPr>
                  </pic:nvPicPr>
                  <pic:blipFill>
                    <a:blip xmlns:r="http://schemas.openxmlformats.org/officeDocument/2006/relationships" r:embed="rId18"/>
                    <a:stretch>
                      <a:fillRect/>
                    </a:stretch>
                  </pic:blipFill>
                  <pic:spPr>
                    <a:xfrm>
                      <a:off x="0" y="0"/>
                      <a:ext cx="7898130" cy="5704143"/>
                    </a:xfrm>
                    <a:prstGeom prst="rect">
                      <a:avLst/>
                    </a:prstGeom>
                  </pic:spPr>
                </pic:pic>
              </a:graphicData>
            </a:graphic>
          </wp:inline>
        </w:drawing>
      </w:r>
    </w:p>
    <w:p>
      <w:pPr>
        <w:sectPr>
          <w:pgSz w:w="15840" w:h="12240" w:orient="landscape"/>
          <w:pgMar w:top="1616" w:right="1701" w:bottom="1418" w:left="1701" w:header="708" w:footer="708"/>
          <w:cols w:space="708"/>
        </w:sectPr>
      </w:pPr>
    </w:p>
    <w:p>
      <w:pPr>
        <w:pStyle w:val="BoldModelerNormal"/>
      </w:pPr>
      <w:r>
        <w:t>Descrição</w:t>
      </w:r>
    </w:p>
    <w:p>
      <w:pPr>
        <w:pStyle w:val="ModelerNormal"/>
        <w:spacing w:afterAutospacing="1"/>
      </w:pPr>
      <w:r>
        <w:t>Esse processo tem como escopo o Redesenho do Macroprocesso de Gestão de Laboratório - Sorologia, com as melhorias idealizadas, desde à entrega das amostras centrifugadas até os resultados dos exames disponiblizados para o setor de Processamento/Recepção.</w:t>
      </w:r>
    </w:p>
    <w:p>
      <w:pPr>
        <w:pStyle w:val="BoldModelerNormal"/>
      </w:pPr>
      <w:r>
        <w:t>SUPERINTENDÊNCIA ESTADUAL DE TECNOLOGIA DA INFORMAÇÃO E COMUNICAÇÃO</w:t>
      </w:r>
    </w:p>
    <w:p>
      <w:pPr>
        <w:pStyle w:val="ModelerNormal"/>
        <w:spacing w:afterAutospacing="1"/>
      </w:pPr>
      <w:bookmarkStart w:id="4" w:name="_dx_frag_StartFragment"/>
      <w:bookmarkEnd w:id="4"/>
      <w:r>
        <w:t>Delner Freire</w:t>
      </w:r>
      <w:r>
        <w:br/>
      </w:r>
      <w:r>
        <w:t>Superintendente</w:t>
      </w:r>
      <w:r>
        <w:br/>
      </w:r>
      <w:r>
        <w:br/>
      </w:r>
      <w:r>
        <w:t>Maico Moreira</w:t>
      </w:r>
      <w:r>
        <w:br/>
      </w:r>
      <w:r>
        <w:t>Diretor Técnico</w:t>
      </w:r>
      <w:r>
        <w:br/>
      </w:r>
      <w:r>
        <w:br/>
      </w:r>
      <w:r>
        <w:t>David Lucas</w:t>
      </w:r>
      <w:r>
        <w:br/>
      </w:r>
      <w:r>
        <w:t>Coordenador de Gestão Estratégica</w:t>
      </w:r>
      <w:bookmarkStart w:id="5" w:name="_dx_frag_EndFragment"/>
      <w:bookmarkEnd w:id="5"/>
      <w:r>
        <w:t xml:space="preserve"> </w:t>
      </w:r>
    </w:p>
    <w:p>
      <w:pPr>
        <w:pStyle w:val="BoldModelerNormal"/>
      </w:pPr>
      <w:r>
        <w:t>ELABORAÇÃO</w:t>
      </w:r>
    </w:p>
    <w:p>
      <w:pPr>
        <w:pStyle w:val="ModelerNormal"/>
        <w:spacing w:afterAutospacing="1"/>
      </w:pPr>
      <w:r>
        <w:t>Luma Damon - Analista de Processo</w:t>
      </w:r>
      <w:r>
        <w:t>s</w:t>
      </w:r>
    </w:p>
    <w:p>
      <w:pPr>
        <w:pStyle w:val="BoldModelerNormal"/>
      </w:pPr>
      <w:r>
        <w:t>COLABORAÇÃO</w:t>
      </w:r>
    </w:p>
    <w:p>
      <w:pPr>
        <w:pStyle w:val="ModelerNormal"/>
        <w:spacing w:afterAutospacing="1"/>
      </w:pPr>
      <w:r>
        <w:t>Deisiany Leite - Biomédica do setor de Imunohematologia da FHEMERON</w:t>
      </w:r>
    </w:p>
    <w:p>
      <w:pPr>
        <w:pStyle w:val="BoldModelerNormal"/>
      </w:pPr>
      <w:r>
        <w:t>REVISORES</w:t>
      </w:r>
    </w:p>
    <w:p>
      <w:pPr>
        <w:pStyle w:val="ModelerNormal"/>
        <w:spacing w:afterAutospacing="1"/>
      </w:pPr>
      <w:r>
        <w:t>Henrique Douglas - Product Owner</w:t>
      </w:r>
      <w:r>
        <w:br/>
      </w:r>
      <w:r>
        <w:t>Deisiany Leite - Dona do Processo</w:t>
      </w:r>
      <w:r>
        <w:br/>
      </w:r>
      <w:r>
        <w:t>Maria Luiza - Dona do Produto</w:t>
      </w:r>
    </w:p>
    <w:p>
      <w:pPr>
        <w:pStyle w:val="BoldModelerNormal"/>
      </w:pPr>
      <w:r>
        <w:t>VERSIONAMENTO</w:t>
      </w:r>
    </w:p>
    <w:tbl>
      <w:tblPr>
        <w:tblW w:w="5000" w:type="pct"/>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903"/>
        <w:gridCol w:w="1483"/>
        <w:gridCol w:w="1786"/>
        <w:gridCol w:w="4620"/>
      </w:tblGrid>
      <w:tr>
        <w:tblPrEx>
          <w:tblW w:w="5000" w:type="pct"/>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Versão</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Data</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Responsável</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Ação</w:t>
            </w:r>
          </w:p>
        </w:tc>
      </w:tr>
      <w:tr>
        <w:tblPrEx>
          <w:tblW w:w="5000" w:type="pct"/>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1.0</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2021</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Luma Damon</w:t>
            </w:r>
            <w:r>
              <w:t xml:space="preserve"> </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Modelagem do Processo de Negócio</w:t>
            </w:r>
          </w:p>
        </w:tc>
      </w:tr>
      <w:tr>
        <w:tblPrEx>
          <w:tblW w:w="5000" w:type="pct"/>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1.1</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25/05/2023</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Thaís Roca</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Atualização de padrão textual</w:t>
            </w:r>
          </w:p>
        </w:tc>
      </w:tr>
    </w:tbl>
    <w:p>
      <w:pPr>
        <w:pStyle w:val="ModelerNormal"/>
        <w:spacing w:afterAutospacing="1"/>
      </w:pPr>
      <w:r>
        <w:t> </w:t>
      </w:r>
    </w:p>
    <w:p>
      <w:pPr>
        <w:pStyle w:val="ModelerNormal"/>
        <w:spacing w:afterAutospacing="1"/>
      </w:pPr>
      <w:r>
        <w:t> </w:t>
      </w:r>
    </w:p>
    <w:p>
      <w:pPr>
        <w:pStyle w:val="BoldModelerNormal"/>
      </w:pPr>
      <w:r>
        <w:t xml:space="preserve">Versão: </w:t>
      </w:r>
    </w:p>
    <w:p>
      <w:pPr>
        <w:pStyle w:val="ModelerNormal"/>
      </w:pPr>
      <w:r>
        <w:t>1.0</w:t>
      </w:r>
    </w:p>
    <w:p>
      <w:pPr>
        <w:pStyle w:val="BoldModelerNormal"/>
      </w:pPr>
      <w:r>
        <w:t xml:space="preserve">Autor: </w:t>
      </w:r>
    </w:p>
    <w:p>
      <w:pPr>
        <w:pStyle w:val="ModelerNormal"/>
      </w:pPr>
      <w:r>
        <w:t>Governo de Rondônia | Superintendência Estadual de Tecnologia da Informação e Comunicação</w:t>
      </w:r>
    </w:p>
    <w:p>
      <w:pPr>
        <w:pStyle w:val="bizHeading2"/>
      </w:pPr>
      <w:bookmarkStart w:id="6" w:name="Id_f0682a804efd4d048cd21a49d68bd43e"/>
      <w:bookmarkStart w:id="7" w:name="_Toc256000003"/>
      <w:r>
        <w:t>Gestão de Laboratório - SOROLOGIA</w:t>
      </w:r>
      <w:bookmarkEnd w:id="7"/>
    </w:p>
    <w:p>
      <w:pPr>
        <w:pStyle w:val="bizHeading3"/>
      </w:pPr>
      <w:bookmarkEnd w:id="6"/>
      <w:bookmarkStart w:id="8" w:name="_Toc256000004"/>
      <w:r>
        <w:t>Elementos do processo</w:t>
      </w:r>
      <w:bookmarkEnd w:id="8"/>
    </w:p>
    <w:p>
      <w:pPr>
        <w:pStyle w:val="bizHeading4"/>
      </w:pPr>
      <w:bookmarkStart w:id="9" w:name="_Toc256000005"/>
      <w:r>
        <w:drawing>
          <wp:inline>
            <wp:extent cx="152421" cy="152421"/>
            <wp:docPr id="12215924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514427"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1. Organizar as amostras</w:t>
      </w:r>
      <w:bookmarkEnd w:id="9"/>
    </w:p>
    <w:p/>
    <w:p>
      <w:pPr>
        <w:pStyle w:val="BoldModelerNormal"/>
      </w:pPr>
      <w:r>
        <w:t>Descrição</w:t>
      </w:r>
    </w:p>
    <w:p>
      <w:pPr>
        <w:pStyle w:val="ModelerNormal"/>
        <w:spacing w:afterAutospacing="1"/>
      </w:pPr>
      <w:r>
        <w:t xml:space="preserve">Onde: </w:t>
      </w:r>
      <w:r>
        <w:t>Sorologia</w:t>
      </w:r>
      <w:r>
        <w:br/>
      </w:r>
      <w:r>
        <w:br/>
      </w:r>
      <w:r>
        <w:t xml:space="preserve">O que: </w:t>
      </w:r>
      <w:r>
        <w:t>Organizar as amostras sanguíneas</w:t>
      </w:r>
      <w:r>
        <w:br/>
      </w:r>
      <w:r>
        <w:br/>
      </w:r>
      <w:r>
        <w:t>Quando:</w:t>
      </w:r>
      <w:r>
        <w:br/>
      </w:r>
      <w:r>
        <w:br/>
      </w:r>
      <w:r>
        <w:t>Como:</w:t>
      </w:r>
      <w:r>
        <w:br/>
      </w:r>
      <w:r>
        <w:t>Para amostras sorológicas:</w:t>
      </w:r>
      <w:r>
        <w:br/>
      </w:r>
      <w:r>
        <w:t xml:space="preserve">Tarefa 1: </w:t>
      </w:r>
      <w:r>
        <w:t>Organizar as amostras nos Rack.</w:t>
      </w:r>
      <w:r>
        <w:br/>
      </w:r>
      <w:r>
        <w:t>Tarefa 2:</w:t>
      </w:r>
      <w:r>
        <w:t xml:space="preserve"> Organizar os racks com as amostras no equipamento (Architech Plus).</w:t>
      </w:r>
      <w:r>
        <w:br/>
      </w:r>
      <w:r>
        <w:t>Para amostras NAT:</w:t>
      </w:r>
      <w:r>
        <w:br/>
      </w:r>
      <w:r>
        <w:t xml:space="preserve">Tarefa 1: </w:t>
      </w:r>
      <w:r>
        <w:t>Reservar amostras.</w:t>
      </w:r>
      <w:r>
        <w:br/>
      </w:r>
      <w:r>
        <w:br/>
      </w:r>
      <w:r>
        <w:t>Por que essa atividade acontece?</w:t>
      </w:r>
      <w:r>
        <w:br/>
      </w:r>
      <w:r>
        <w:t>Essa atividade acontece porque é necessário reservar os tubos de amostra NAT e organizar os tubos de amostras sorológicas no racks e logo após no equipamento, para dar início ao processamento dos exames sorológicos.</w:t>
      </w:r>
    </w:p>
    <w:p>
      <w:pPr>
        <w:pStyle w:val="bizHeading4"/>
      </w:pPr>
      <w:bookmarkStart w:id="10" w:name="_Toc256000006"/>
      <w:r>
        <w:drawing>
          <wp:inline>
            <wp:extent cx="152421" cy="152421"/>
            <wp:docPr id="10264191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363117"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2. Cadastrar amostras no Architech Plus</w:t>
      </w:r>
      <w:bookmarkEnd w:id="10"/>
    </w:p>
    <w:p/>
    <w:p>
      <w:pPr>
        <w:pStyle w:val="BoldModelerNormal"/>
      </w:pPr>
      <w:r>
        <w:t>Descrição</w:t>
      </w:r>
    </w:p>
    <w:p>
      <w:pPr>
        <w:pStyle w:val="ModelerNormal"/>
        <w:spacing w:afterAutospacing="1"/>
      </w:pPr>
      <w:r>
        <w:t xml:space="preserve">Onde: </w:t>
      </w:r>
      <w:r>
        <w:t>Software do equipamento</w:t>
      </w:r>
      <w:r>
        <w:br/>
      </w:r>
      <w:r>
        <w:br/>
      </w:r>
      <w:r>
        <w:t xml:space="preserve">O que: </w:t>
      </w:r>
      <w:r>
        <w:t>Cadastrar amostras no Architech Plus</w:t>
      </w:r>
      <w:r>
        <w:br/>
      </w:r>
      <w:r>
        <w:br/>
      </w:r>
      <w:r>
        <w:t>Quando:</w:t>
      </w:r>
      <w:r>
        <w:br/>
      </w:r>
      <w:r>
        <w:br/>
      </w:r>
      <w:r>
        <w:t>Como:</w:t>
      </w:r>
      <w:r>
        <w:br/>
      </w:r>
      <w:r>
        <w:t xml:space="preserve">Tarefa 1: </w:t>
      </w:r>
      <w:r>
        <w:t>Programar o software da Architech Plus, para realizar os exames necessários (Sifilis, HTLV, Chagas e HIV, HBC, HBSAG, HCV);</w:t>
      </w:r>
      <w:r>
        <w:br/>
      </w:r>
      <w:r>
        <w:t xml:space="preserve">Tarefa 2: </w:t>
      </w:r>
      <w:r>
        <w:t>Conferir o código de barras dos tubos (posição no rack);</w:t>
      </w:r>
      <w:r>
        <w:br/>
      </w:r>
      <w:r>
        <w:t xml:space="preserve">Tarefa 3: </w:t>
      </w:r>
      <w:r>
        <w:t>Realizar leitura do codigo da etiqueta do tubo sorológico;</w:t>
      </w:r>
      <w:r>
        <w:br/>
      </w:r>
      <w:r>
        <w:t xml:space="preserve">Tarefa 3: </w:t>
      </w:r>
      <w:r>
        <w:t>Confirmar as amostras cadastradas no software da Architech Plus.;</w:t>
      </w:r>
      <w:r>
        <w:br/>
      </w:r>
      <w:r>
        <w:t xml:space="preserve">Tarefa 4: </w:t>
      </w:r>
      <w:r>
        <w:t>Processar as amostras;</w:t>
      </w:r>
      <w:r>
        <w:br/>
      </w:r>
      <w:r>
        <w:br/>
      </w:r>
      <w:r>
        <w:t>Por que essa atividade acontece?</w:t>
      </w:r>
      <w:r>
        <w:br/>
      </w:r>
      <w:r>
        <w:t>Essa atividade acontece porque é necessário configurar o equipamento e programar as amostras para dá início ao processamento dos exames sorológicos necessários.</w:t>
      </w:r>
      <w:r>
        <w:t> </w:t>
      </w:r>
    </w:p>
    <w:p>
      <w:pPr>
        <w:pStyle w:val="ModelerNormal"/>
        <w:spacing w:afterAutospacing="1"/>
      </w:pPr>
      <w:r>
        <w:t>PORTARIA Nº 158, DE 4 DE FEVEREIRO DE 2016</w:t>
      </w:r>
      <w:r>
        <w:t xml:space="preserve"> </w:t>
      </w:r>
    </w:p>
    <w:p>
      <w:pPr>
        <w:pStyle w:val="ModelerNormal"/>
        <w:spacing w:afterAutospacing="1"/>
      </w:pPr>
      <w:r>
        <w:t> </w:t>
      </w:r>
    </w:p>
    <w:p>
      <w:pPr>
        <w:pStyle w:val="ModelerNormal"/>
        <w:spacing w:afterAutospacing="1"/>
      </w:pPr>
      <w:r>
        <w:t>Art. 130. É obrigatória a realização de exames laboratoriais de alta sensibilidade a cada doação, para detecção de marcadores para as seguintes infecções transmissíveis pelo sangue, cumprindo-se ainda, os algoritmos descritos no Anexo V para cada marcador:</w:t>
      </w:r>
      <w:r>
        <w:br/>
      </w:r>
      <w:r>
        <w:t>I - sífilis;</w:t>
      </w:r>
      <w:r>
        <w:br/>
      </w:r>
      <w:r>
        <w:t>II - doença de Chagas;</w:t>
      </w:r>
      <w:r>
        <w:br/>
      </w:r>
      <w:r>
        <w:t>III - hepatite B;</w:t>
      </w:r>
      <w:r>
        <w:br/>
      </w:r>
      <w:r>
        <w:t>IV - hepatite C;</w:t>
      </w:r>
      <w:r>
        <w:br/>
      </w:r>
      <w:r>
        <w:t>V - AIDS; e</w:t>
      </w:r>
      <w:r>
        <w:br/>
      </w:r>
      <w:r>
        <w:t>VI - HTLV I/II.</w:t>
      </w:r>
      <w:r>
        <w:t> </w:t>
      </w:r>
    </w:p>
    <w:p>
      <w:pPr>
        <w:pStyle w:val="bizHeading4"/>
      </w:pPr>
      <w:bookmarkStart w:id="11" w:name="_Toc256000007"/>
      <w:r>
        <w:drawing>
          <wp:inline>
            <wp:extent cx="152421" cy="152421"/>
            <wp:docPr id="16172356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400516"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3. Importar resultados para o SIHRO</w:t>
      </w:r>
      <w:bookmarkEnd w:id="11"/>
    </w:p>
    <w:p/>
    <w:p>
      <w:pPr>
        <w:pStyle w:val="BoldModelerNormal"/>
      </w:pPr>
      <w:r>
        <w:t>Descrição</w:t>
      </w:r>
    </w:p>
    <w:p>
      <w:pPr>
        <w:pStyle w:val="ModelerNormal"/>
        <w:spacing w:afterAutospacing="1"/>
      </w:pPr>
      <w:r>
        <w:t xml:space="preserve">Onde: </w:t>
      </w:r>
      <w:r>
        <w:t>Software da Architec Plus</w:t>
      </w:r>
      <w:r>
        <w:br/>
      </w:r>
      <w:r>
        <w:br/>
      </w:r>
      <w:r>
        <w:t xml:space="preserve">O que: </w:t>
      </w:r>
      <w:r>
        <w:t>Importar resultado dos exames para o sistema SIHRO</w:t>
      </w:r>
      <w:r>
        <w:br/>
      </w:r>
      <w:r>
        <w:br/>
      </w:r>
      <w:r>
        <w:t>Quando:</w:t>
      </w:r>
      <w:r>
        <w:br/>
      </w:r>
      <w:r>
        <w:br/>
      </w:r>
      <w:r>
        <w:t>Como:</w:t>
      </w:r>
      <w:r>
        <w:br/>
      </w:r>
      <w:r>
        <w:t>Tarrefa 1:</w:t>
      </w:r>
      <w:r>
        <w:t xml:space="preserve"> Abrir aba resultados.</w:t>
      </w:r>
      <w:r>
        <w:br/>
      </w:r>
      <w:r>
        <w:t>Tarefa 2:</w:t>
      </w:r>
      <w:r>
        <w:t xml:space="preserve"> validar as informações.</w:t>
      </w:r>
      <w:r>
        <w:br/>
      </w:r>
      <w:r>
        <w:t>Tarefa 3:</w:t>
      </w:r>
      <w:r>
        <w:t xml:space="preserve"> Selecionar a opção importar.</w:t>
      </w:r>
      <w:r>
        <w:br/>
      </w:r>
      <w:r>
        <w:t>Observação:</w:t>
      </w:r>
    </w:p>
    <w:p>
      <w:pPr>
        <w:pStyle w:val="ModelerNormal"/>
        <w:spacing w:afterAutospacing="1"/>
      </w:pPr>
      <w:r>
        <w:t xml:space="preserve">1- </w:t>
      </w:r>
      <w:r>
        <w:t>Após a importação dos resultados de exame, as amostras que deram positiva/inconclusiva apresentarão no sistema o status de PENDENTE para posterior reteste.</w:t>
      </w:r>
      <w:r>
        <w:br/>
      </w:r>
      <w:r>
        <w:br/>
      </w:r>
      <w:r>
        <w:t>Por que essa atividade acontece?</w:t>
      </w:r>
      <w:r>
        <w:br/>
      </w:r>
      <w:r>
        <w:t>Essa atividade acontece porque é necessário importar os resultados dos testes realizados no equipamento (Architech Plus), para posterior importação ao sistema SIHRO. </w:t>
      </w:r>
    </w:p>
    <w:p>
      <w:pPr>
        <w:pStyle w:val="bizHeading4"/>
      </w:pPr>
      <w:bookmarkStart w:id="12" w:name="_Toc256000008"/>
      <w:r>
        <w:drawing>
          <wp:inline>
            <wp:extent cx="152421" cy="152421"/>
            <wp:docPr id="19361796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180413"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4. Confirmar parâmetros diário</w:t>
      </w:r>
      <w:bookmarkEnd w:id="12"/>
    </w:p>
    <w:p/>
    <w:p>
      <w:pPr>
        <w:pStyle w:val="BoldModelerNormal"/>
      </w:pPr>
      <w:r>
        <w:t>Descrição</w:t>
      </w:r>
    </w:p>
    <w:p>
      <w:pPr>
        <w:pStyle w:val="ModelerNormal"/>
        <w:spacing w:afterAutospacing="1"/>
      </w:pPr>
      <w:r>
        <w:t xml:space="preserve">Onde: </w:t>
      </w:r>
      <w:r>
        <w:t>Sistema SIHRO</w:t>
      </w:r>
      <w:r>
        <w:br/>
      </w:r>
      <w:r>
        <w:br/>
      </w:r>
      <w:r>
        <w:t xml:space="preserve">O que: </w:t>
      </w:r>
      <w:r>
        <w:t>Confirmar parâmetros diários</w:t>
      </w:r>
      <w:r>
        <w:br/>
      </w:r>
      <w:r>
        <w:br/>
      </w:r>
      <w:r>
        <w:t>Quando:</w:t>
      </w:r>
      <w:r>
        <w:br/>
      </w:r>
      <w:r>
        <w:br/>
      </w:r>
      <w:r>
        <w:t>Como:</w:t>
      </w:r>
      <w:r>
        <w:br/>
      </w:r>
      <w:r>
        <w:t xml:space="preserve">Tarefa 1: </w:t>
      </w:r>
      <w:r>
        <w:t>Abrir o sistema com Login e Senha;</w:t>
      </w:r>
      <w:r>
        <w:br/>
      </w:r>
      <w:r>
        <w:t>Tarefa 2:</w:t>
      </w:r>
      <w:r>
        <w:t xml:space="preserve"> Acessar o módulo de Sorologia;</w:t>
      </w:r>
      <w:r>
        <w:br/>
      </w:r>
      <w:r>
        <w:t xml:space="preserve">Tarefa 3: </w:t>
      </w:r>
      <w:r>
        <w:t>Verificar se os todos os exames estão cadastrados;</w:t>
      </w:r>
      <w:r>
        <w:br/>
      </w:r>
      <w:r>
        <w:t xml:space="preserve">Tarefa 4: </w:t>
      </w:r>
      <w:r>
        <w:t>Verificar data da rotina e as informações dos insumos (fabricante, lote, validade, etc.);</w:t>
      </w:r>
      <w:r>
        <w:br/>
      </w:r>
      <w:r>
        <w:t xml:space="preserve">Tarefa 5: </w:t>
      </w:r>
      <w:r>
        <w:t>Dá ciência na confirmação dos parâmetros;</w:t>
      </w:r>
      <w:r>
        <w:br/>
      </w:r>
      <w:r>
        <w:br/>
      </w:r>
      <w:r>
        <w:t>Por que essa atividade acontece?</w:t>
      </w:r>
      <w:r>
        <w:br/>
      </w:r>
      <w:r>
        <w:t>Essa atividade acontece porque é necessário verificar se todos os exames estão cadastrados no sistema, se estão corretas as informações dos insumos, para posteriormente confirmar no sistema.</w:t>
      </w:r>
      <w:r>
        <w:br/>
      </w:r>
      <w:r>
        <w:t> </w:t>
      </w:r>
    </w:p>
    <w:p>
      <w:pPr>
        <w:pStyle w:val="ModelerNormal"/>
        <w:spacing w:afterAutospacing="1"/>
      </w:pPr>
      <w:r>
        <w:t>RESOLUÇÃO - RDC N° 34, DE 11 DE JUNHO DE 2014</w:t>
      </w:r>
      <w:r>
        <w:br/>
      </w:r>
      <w:r>
        <w:t> </w:t>
      </w:r>
    </w:p>
    <w:p>
      <w:pPr>
        <w:pStyle w:val="ModelerNormal"/>
        <w:spacing w:afterAutospacing="1"/>
      </w:pPr>
      <w:r>
        <w:t>Art. 74. Os protocolos dos ensaios laboratoriais devem conter, no mínimo, a identificação do(s) teste(s) utilizado(s), nome do fabricante do conjunto diagnóstico/reagentes, número do lote e prazo de validade e a identificação do responsável pela execução do(s) ensaio(s).</w:t>
      </w:r>
      <w:r>
        <w:br/>
      </w:r>
      <w:r>
        <w:t>Art. 89. A cada doação devem ser realizados obrigatoriamente testes laboratoriais de triagem de alta sensibilidade, para detecção de marcadores para as seguintes doenças infecciosas transmissíveis pelo sangue, independentemente dos resultados de doações anteriores, segundo critérios determinados nesta Resolução e nas demais normas do Ministério da Saúde:</w:t>
      </w:r>
      <w:r>
        <w:br/>
      </w:r>
      <w:r>
        <w:t>§ 2º Nas regiões endêmicas de malária com transmissão ativa, deve ser realizada a detecção de plasmódio ou antígenos plasmodiais.</w:t>
      </w:r>
    </w:p>
    <w:p>
      <w:pPr>
        <w:pStyle w:val="bizHeading4"/>
      </w:pPr>
      <w:bookmarkStart w:id="13" w:name="_Toc256000009"/>
      <w:r>
        <w:drawing>
          <wp:inline>
            <wp:extent cx="152421" cy="152421"/>
            <wp:docPr id="302081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42336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5. Verificar resultados dos exames</w:t>
      </w:r>
      <w:bookmarkEnd w:id="13"/>
    </w:p>
    <w:p/>
    <w:p>
      <w:pPr>
        <w:pStyle w:val="BoldModelerNormal"/>
      </w:pPr>
      <w:r>
        <w:t>Descrição</w:t>
      </w:r>
    </w:p>
    <w:p>
      <w:pPr>
        <w:pStyle w:val="ModelerNormal"/>
        <w:spacing w:afterAutospacing="1"/>
      </w:pPr>
      <w:r>
        <w:t xml:space="preserve">Onde: </w:t>
      </w:r>
      <w:r>
        <w:t>Sistema Hemovida</w:t>
      </w:r>
      <w:r>
        <w:br/>
      </w:r>
      <w:r>
        <w:br/>
      </w:r>
      <w:r>
        <w:t xml:space="preserve">O que: </w:t>
      </w:r>
      <w:r>
        <w:t>Verificar resultados dos exames</w:t>
      </w:r>
      <w:r>
        <w:br/>
      </w:r>
      <w:r>
        <w:br/>
      </w:r>
      <w:r>
        <w:t>Quando:</w:t>
      </w:r>
      <w:r>
        <w:br/>
      </w:r>
      <w:r>
        <w:br/>
      </w:r>
      <w:r>
        <w:t>Como:</w:t>
      </w:r>
      <w:r>
        <w:br/>
      </w:r>
      <w:r>
        <w:t xml:space="preserve">Tarefa 1: </w:t>
      </w:r>
      <w:r>
        <w:t>Acessar o sistema com Login e Senha;</w:t>
      </w:r>
      <w:r>
        <w:br/>
      </w:r>
      <w:r>
        <w:t>Tarefa 2:</w:t>
      </w:r>
      <w:r>
        <w:t xml:space="preserve"> Abrir a aba "amostras pendentes";</w:t>
      </w:r>
      <w:r>
        <w:br/>
      </w:r>
      <w:r>
        <w:t xml:space="preserve">Tarefa 3: </w:t>
      </w:r>
      <w:r>
        <w:t>Preencher com a data da pendência e apertar "imprimir";</w:t>
      </w:r>
      <w:r>
        <w:br/>
      </w:r>
      <w:r>
        <w:t xml:space="preserve">Tarefa 4: </w:t>
      </w:r>
      <w:r>
        <w:t>Realizar conferência com a lista das amostras pendentes, juntamente com o resultado exibido no sistema;</w:t>
      </w:r>
      <w:r>
        <w:br/>
      </w:r>
      <w:r>
        <w:br/>
      </w:r>
      <w:r>
        <w:t>Por que essa atividade acontece?</w:t>
      </w:r>
      <w:r>
        <w:t xml:space="preserve"> </w:t>
      </w:r>
      <w:r>
        <w:br/>
      </w:r>
      <w:r>
        <w:t>Essa atividade acontece porque é necessário realizar a dupla conferência dos resultados pendentes impresso, junto ao resultado exibido no sistema;</w:t>
      </w:r>
    </w:p>
    <w:p>
      <w:pPr>
        <w:pStyle w:val="bizHeading4"/>
      </w:pPr>
      <w:bookmarkStart w:id="14" w:name="_Toc256000010"/>
      <w:r>
        <w:drawing>
          <wp:inline>
            <wp:extent cx="152421" cy="152421"/>
            <wp:docPr id="15409831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006835"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6. Realizar reteste</w:t>
      </w:r>
      <w:bookmarkEnd w:id="14"/>
      <w:r>
        <w:t> </w:t>
      </w:r>
    </w:p>
    <w:p/>
    <w:p>
      <w:pPr>
        <w:pStyle w:val="BoldModelerNormal"/>
      </w:pPr>
      <w:r>
        <w:t>Descrição</w:t>
      </w:r>
    </w:p>
    <w:p>
      <w:pPr>
        <w:pStyle w:val="ModelerNormal"/>
        <w:spacing w:afterAutospacing="1"/>
      </w:pPr>
      <w:r>
        <w:t xml:space="preserve">Onde: </w:t>
      </w:r>
      <w:r>
        <w:t>Sorologia</w:t>
      </w:r>
      <w:r>
        <w:br/>
      </w:r>
      <w:r>
        <w:br/>
      </w:r>
      <w:r>
        <w:t xml:space="preserve">O que: </w:t>
      </w:r>
      <w:r>
        <w:t>Realizar reteste em duplicada</w:t>
      </w:r>
      <w:r>
        <w:br/>
      </w:r>
      <w:r>
        <w:br/>
      </w:r>
      <w:r>
        <w:t>Quando:</w:t>
      </w:r>
      <w:r>
        <w:br/>
      </w:r>
      <w:r>
        <w:br/>
      </w:r>
      <w:r>
        <w:t>Como:</w:t>
      </w:r>
      <w:r>
        <w:br/>
      </w:r>
      <w:r>
        <w:t xml:space="preserve">Tarefa 1: </w:t>
      </w:r>
      <w:r>
        <w:t>Verificar as amostras positivas/inconclusivas; (exames HIV, sífilis, hcv, etc);</w:t>
      </w:r>
      <w:r>
        <w:br/>
      </w:r>
      <w:r>
        <w:t>Tarefa 2:</w:t>
      </w:r>
      <w:r>
        <w:t xml:space="preserve"> Colocar os dois tubos de amostra sorológicas nos equipamentos correspondentes (</w:t>
      </w:r>
      <w:r>
        <w:t>Architech Plus</w:t>
      </w:r>
      <w:r>
        <w:t>)</w:t>
      </w:r>
      <w:r>
        <w:t>, para realizar restestagem;</w:t>
      </w:r>
    </w:p>
    <w:p>
      <w:pPr>
        <w:pStyle w:val="ModelerNormal"/>
        <w:spacing w:afterAutospacing="1"/>
      </w:pPr>
      <w:r>
        <w:t xml:space="preserve">Observação: </w:t>
      </w:r>
      <w:r>
        <w:br/>
      </w:r>
      <w:r>
        <w:t xml:space="preserve">1- </w:t>
      </w:r>
      <w:r>
        <w:t>Durante o periodo de reteste as amostras deverão ficar com o status de pendente (sistema deverá realizar essa funcionalidade automaticamente)</w:t>
      </w:r>
      <w:r>
        <w:br/>
      </w:r>
      <w:r>
        <w:br/>
      </w:r>
      <w:r>
        <w:t>Por que essa atividade acontece?</w:t>
      </w:r>
      <w:r>
        <w:t xml:space="preserve"> </w:t>
      </w:r>
    </w:p>
    <w:p>
      <w:pPr>
        <w:pStyle w:val="ModelerNormal"/>
        <w:spacing w:afterAutospacing="1"/>
      </w:pPr>
      <w:r>
        <w:t>Essa atividade acontece porque é necessário realizar reteste das amostras que apresentam resultados positivos/inconclusivos.</w:t>
      </w:r>
    </w:p>
    <w:p>
      <w:pPr>
        <w:pStyle w:val="ModelerNormal"/>
        <w:spacing w:afterAutospacing="1"/>
      </w:pPr>
      <w:r>
        <w:t> </w:t>
      </w:r>
    </w:p>
    <w:p>
      <w:pPr>
        <w:pStyle w:val="ModelerNormal"/>
        <w:spacing w:afterAutospacing="1"/>
      </w:pPr>
      <w:r>
        <w:t>PORTARIA Nº 158, DE 4 DE FEVEREIRO DE 2016</w:t>
      </w:r>
    </w:p>
    <w:p>
      <w:pPr>
        <w:pStyle w:val="ModelerNormal"/>
        <w:spacing w:afterAutospacing="1"/>
      </w:pPr>
      <w:r>
        <w:t>Art. 67. O doador deverá ser informado sobre os motivos de inaptidão temporária ou definitiva para doação de sangue, identificados na triagem clínica.</w:t>
      </w:r>
      <w:r>
        <w:br/>
      </w:r>
      <w:r>
        <w:t>§ 4º Antes da comunicação ao doador, o serviço de hemoterapia realizará repetição em duplicata dos testes com resultados inicialmente reagentes, conforme algoritmo de que trata o Anexo V.</w:t>
      </w:r>
      <w:r>
        <w:br/>
      </w:r>
      <w:r>
        <w:t>Art. 68. O serviço de hemoterapia informará, mensalmente, à autoridade sanitária competente, os dados dos doadores com resultados dos testes laboratoriais para doenças transmissíveis pelo sangue, reagentes nas repetições em duplicata, e as ausências dos doadores convocados para a coleta de novas amostras ou recebimento de orientações, conforme padronização definida pelas instâncias competentes e pelo serviço de hemoterapia.</w:t>
      </w:r>
    </w:p>
    <w:p>
      <w:pPr>
        <w:pStyle w:val="ModelerNormal"/>
        <w:spacing w:afterAutospacing="1"/>
      </w:pPr>
      <w:r>
        <w:t> </w:t>
      </w:r>
    </w:p>
    <w:p>
      <w:pPr>
        <w:pStyle w:val="bizHeading4"/>
      </w:pPr>
      <w:bookmarkStart w:id="15" w:name="_Toc256000011"/>
      <w:r>
        <w:drawing>
          <wp:inline>
            <wp:extent cx="152421" cy="152421"/>
            <wp:docPr id="11290614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829935"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Divulgar</w:t>
      </w:r>
      <w:bookmarkEnd w:id="15"/>
    </w:p>
    <w:p/>
    <w:p>
      <w:pPr>
        <w:pStyle w:val="bizHeading4"/>
      </w:pPr>
      <w:bookmarkStart w:id="16" w:name="_Toc256000012"/>
      <w:r>
        <w:drawing>
          <wp:inline>
            <wp:extent cx="152421" cy="152421"/>
            <wp:docPr id="4607172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48142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2. Confirmar amostras - GSM NAT</w:t>
      </w:r>
      <w:bookmarkEnd w:id="16"/>
    </w:p>
    <w:p/>
    <w:p>
      <w:pPr>
        <w:pStyle w:val="BoldModelerNormal"/>
      </w:pPr>
      <w:r>
        <w:t>Descrição</w:t>
      </w:r>
    </w:p>
    <w:p>
      <w:pPr>
        <w:pStyle w:val="ModelerNormal"/>
        <w:spacing w:afterAutospacing="1"/>
      </w:pPr>
      <w:r>
        <w:t xml:space="preserve">Onde: </w:t>
      </w:r>
      <w:r>
        <w:t>Portal GSM-NAT</w:t>
      </w:r>
      <w:r>
        <w:br/>
      </w:r>
      <w:r>
        <w:br/>
      </w:r>
      <w:r>
        <w:t xml:space="preserve">O que: </w:t>
      </w:r>
      <w:r>
        <w:t>Registrar amostras NAT no portal GSM-NAT</w:t>
      </w:r>
      <w:r>
        <w:br/>
      </w:r>
      <w:r>
        <w:br/>
      </w:r>
      <w:r>
        <w:t>Quando:</w:t>
      </w:r>
      <w:r>
        <w:br/>
      </w:r>
      <w:r>
        <w:br/>
      </w:r>
      <w:r>
        <w:t>Como:</w:t>
      </w:r>
      <w:r>
        <w:br/>
      </w:r>
      <w:r>
        <w:t xml:space="preserve">Tarefa 1: </w:t>
      </w:r>
      <w:r>
        <w:t>Acessar o portal GSM-NAT;</w:t>
      </w:r>
      <w:r>
        <w:br/>
      </w:r>
      <w:r>
        <w:t>Tarefa 2:</w:t>
      </w:r>
      <w:r>
        <w:t xml:space="preserve"> Preencher o campo com Login e Senha;</w:t>
      </w:r>
      <w:r>
        <w:br/>
      </w:r>
      <w:r>
        <w:t xml:space="preserve">Tarefa 3: </w:t>
      </w:r>
      <w:r>
        <w:t>Importar os dados das amostras NAT do sistema SIHRO;</w:t>
      </w:r>
      <w:r>
        <w:br/>
      </w:r>
      <w:r>
        <w:t xml:space="preserve">Tarefa 4: </w:t>
      </w:r>
      <w:r>
        <w:t>Seleciona OK para finalizar</w:t>
      </w:r>
      <w:r>
        <w:br/>
      </w:r>
      <w:r>
        <w:br/>
      </w:r>
      <w:r>
        <w:t>Por que essa atividade acontece?</w:t>
      </w:r>
      <w:r>
        <w:t xml:space="preserve"> </w:t>
      </w:r>
      <w:r>
        <w:br/>
      </w:r>
      <w:r>
        <w:t>Essa atividade acontece porque é necessário registrar as amostras NAT no portal GMS-NAT, para posterior envio ao Hemoam-Manaus.</w:t>
      </w:r>
    </w:p>
    <w:p>
      <w:pPr>
        <w:pStyle w:val="bizHeading4"/>
      </w:pPr>
      <w:bookmarkStart w:id="17" w:name="_Toc256000013"/>
      <w:r>
        <w:drawing>
          <wp:inline>
            <wp:extent cx="152421" cy="152421"/>
            <wp:docPr id="20260921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850320"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3. Organizar amostras para envio</w:t>
      </w:r>
      <w:bookmarkEnd w:id="17"/>
    </w:p>
    <w:p/>
    <w:p>
      <w:pPr>
        <w:pStyle w:val="BoldModelerNormal"/>
      </w:pPr>
      <w:r>
        <w:t>Descrição</w:t>
      </w:r>
    </w:p>
    <w:p>
      <w:pPr>
        <w:pStyle w:val="ModelerNormal"/>
        <w:spacing w:afterAutospacing="1"/>
      </w:pPr>
      <w:r>
        <w:t xml:space="preserve">Onde: </w:t>
      </w:r>
      <w:r>
        <w:t>Sorologia</w:t>
      </w:r>
      <w:r>
        <w:br/>
      </w:r>
      <w:r>
        <w:br/>
      </w:r>
      <w:r>
        <w:t xml:space="preserve">O que: </w:t>
      </w:r>
      <w:r>
        <w:t>Organizar amostras para envio</w:t>
      </w:r>
      <w:r>
        <w:br/>
      </w:r>
      <w:r>
        <w:br/>
      </w:r>
      <w:r>
        <w:t>Quando:</w:t>
      </w:r>
      <w:r>
        <w:br/>
      </w:r>
      <w:r>
        <w:br/>
      </w:r>
      <w:r>
        <w:t>Como:</w:t>
      </w:r>
      <w:r>
        <w:br/>
      </w:r>
      <w:r>
        <w:t xml:space="preserve">Tarefa 1: </w:t>
      </w:r>
      <w:r>
        <w:t>Armazenar os tubos de amostra NAT em uma caixa térmica específica para envio;</w:t>
      </w:r>
      <w:r>
        <w:br/>
      </w:r>
      <w:r>
        <w:t>Tarefa 2:</w:t>
      </w:r>
      <w:r>
        <w:t xml:space="preserve"> Preencher documento de transporte contendo dados do hemocentro de origem e dados do hemocentro de destino;</w:t>
      </w:r>
      <w:r>
        <w:br/>
      </w:r>
      <w:r>
        <w:t xml:space="preserve">Tarefa 3: </w:t>
      </w:r>
      <w:r>
        <w:t>Aguardar retirada por parte da empresa resposável pelo envio;</w:t>
      </w:r>
      <w:r>
        <w:br/>
      </w:r>
      <w:r>
        <w:br/>
      </w:r>
      <w:r>
        <w:t>Por que essa atividade acontece?</w:t>
      </w:r>
      <w:r>
        <w:t xml:space="preserve"> </w:t>
      </w:r>
      <w:r>
        <w:br/>
      </w:r>
      <w:r>
        <w:t>Essa atividade acontece porque é necessário organizar os tubos de amostras NAT, para posterior envio. </w:t>
      </w:r>
    </w:p>
    <w:p>
      <w:pPr>
        <w:pStyle w:val="bizHeading4"/>
      </w:pPr>
      <w:bookmarkStart w:id="18" w:name="_Toc256000014"/>
      <w:r>
        <w:drawing>
          <wp:inline>
            <wp:extent cx="152421" cy="152421"/>
            <wp:docPr id="13866334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15008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4. Importar resultados</w:t>
      </w:r>
      <w:bookmarkEnd w:id="18"/>
    </w:p>
    <w:p/>
    <w:p>
      <w:pPr>
        <w:pStyle w:val="BoldModelerNormal"/>
      </w:pPr>
      <w:r>
        <w:t>Descrição</w:t>
      </w:r>
    </w:p>
    <w:p>
      <w:pPr>
        <w:pStyle w:val="ModelerNormal"/>
        <w:spacing w:afterAutospacing="1"/>
      </w:pPr>
      <w:r>
        <w:t xml:space="preserve">Onde: </w:t>
      </w:r>
      <w:r>
        <w:t>Portal GSM-NAT</w:t>
      </w:r>
      <w:r>
        <w:br/>
      </w:r>
      <w:r>
        <w:br/>
      </w:r>
      <w:r>
        <w:t xml:space="preserve">O que: </w:t>
      </w:r>
      <w:r>
        <w:t>Consultar se os resultados já estão liberados no portal</w:t>
      </w:r>
      <w:r>
        <w:br/>
      </w:r>
      <w:r>
        <w:br/>
      </w:r>
      <w:r>
        <w:t>Quando:</w:t>
      </w:r>
      <w:r>
        <w:br/>
      </w:r>
      <w:r>
        <w:br/>
      </w:r>
      <w:r>
        <w:t>Como:</w:t>
      </w:r>
      <w:r>
        <w:br/>
      </w:r>
      <w:r>
        <w:t xml:space="preserve">Tarefa 1: </w:t>
      </w:r>
      <w:r>
        <w:t>Acessar o portal GSM-NAT;</w:t>
      </w:r>
      <w:r>
        <w:br/>
      </w:r>
      <w:r>
        <w:t>Tarefa 2:</w:t>
      </w:r>
      <w:r>
        <w:t xml:space="preserve"> Preencher o campo com Login e Senha;</w:t>
      </w:r>
      <w:r>
        <w:br/>
      </w:r>
      <w:r>
        <w:t xml:space="preserve">Tarefa 3: </w:t>
      </w:r>
      <w:r>
        <w:t>Conferir os resultados;</w:t>
      </w:r>
    </w:p>
    <w:p>
      <w:pPr>
        <w:pStyle w:val="ModelerNormal"/>
        <w:spacing w:afterAutospacing="1"/>
      </w:pPr>
      <w:r>
        <w:t xml:space="preserve">Observação: </w:t>
      </w:r>
    </w:p>
    <w:p>
      <w:pPr>
        <w:pStyle w:val="ModelerNormal"/>
        <w:spacing w:afterAutospacing="1"/>
      </w:pPr>
      <w:r>
        <w:t>1-</w:t>
      </w:r>
      <w:r>
        <w:t>Caso o resultado não esteja disponível, entende-se que o Hemoan esteja realizando uma segunda análise na amostra.</w:t>
      </w:r>
      <w:r>
        <w:br/>
      </w:r>
      <w:r>
        <w:t xml:space="preserve">Tarefa 4: </w:t>
      </w:r>
      <w:r>
        <w:t>Importar os resultados dos exames do NAT para o sistema SIRHO</w:t>
      </w:r>
      <w:r>
        <w:br/>
      </w:r>
      <w:r>
        <w:t>Observação:</w:t>
      </w:r>
    </w:p>
    <w:p>
      <w:pPr>
        <w:pStyle w:val="ModelerNormal"/>
        <w:spacing w:afterAutospacing="1"/>
      </w:pPr>
      <w:r>
        <w:t xml:space="preserve">1- </w:t>
      </w:r>
      <w:r>
        <w:t>O Sistema SIRHO deverá fazer o interfaceamento com a Plataforma GSM-NAT.</w:t>
      </w:r>
      <w:r>
        <w:br/>
      </w:r>
      <w:r>
        <w:br/>
      </w:r>
      <w:r>
        <w:t>P</w:t>
      </w:r>
      <w:r>
        <w:t>or que essa atividade acontece?</w:t>
      </w:r>
      <w:r>
        <w:t xml:space="preserve"> </w:t>
      </w:r>
    </w:p>
    <w:p>
      <w:pPr>
        <w:pStyle w:val="ModelerNormal"/>
        <w:spacing w:afterAutospacing="1"/>
      </w:pPr>
      <w:r>
        <w:t>Essa atividade acontece porque é necessário consultar a Plataforma do GSM-NAT para realizar o interfacemanto das informações para o sistema SIRHO.</w:t>
      </w:r>
    </w:p>
    <w:p>
      <w:pPr>
        <w:pStyle w:val="bizHeading4"/>
      </w:pPr>
      <w:bookmarkStart w:id="19" w:name="_Toc256000015"/>
      <w:r>
        <w:drawing>
          <wp:inline>
            <wp:extent cx="152421" cy="152421"/>
            <wp:docPr id="17739845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895486"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Liberar</w:t>
      </w:r>
      <w:bookmarkEnd w:id="19"/>
    </w:p>
    <w:p/>
    <w:p>
      <w:pPr>
        <w:pStyle w:val="bizHeading4"/>
      </w:pPr>
      <w:bookmarkStart w:id="20" w:name="_Toc256000016"/>
      <w:r>
        <w:drawing>
          <wp:inline>
            <wp:extent cx="152421" cy="152421"/>
            <wp:docPr id="13586692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482605"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1. Emitir memorando</w:t>
      </w:r>
      <w:bookmarkEnd w:id="20"/>
    </w:p>
    <w:p/>
    <w:p>
      <w:pPr>
        <w:pStyle w:val="BoldModelerNormal"/>
      </w:pPr>
      <w:r>
        <w:t>Descrição</w:t>
      </w:r>
    </w:p>
    <w:p>
      <w:pPr>
        <w:pStyle w:val="ModelerNormal"/>
        <w:spacing w:afterAutospacing="1"/>
      </w:pPr>
      <w:r>
        <w:t xml:space="preserve">Onde: </w:t>
      </w:r>
      <w:r>
        <w:t>Sistema SIHRO</w:t>
      </w:r>
      <w:r>
        <w:br/>
      </w:r>
      <w:r>
        <w:br/>
      </w:r>
      <w:r>
        <w:t xml:space="preserve">O que: </w:t>
      </w:r>
      <w:r>
        <w:t>Emitir memorando</w:t>
      </w:r>
      <w:r>
        <w:br/>
      </w:r>
      <w:r>
        <w:br/>
      </w:r>
      <w:r>
        <w:t xml:space="preserve">Quando: </w:t>
      </w:r>
      <w:r>
        <w:t>Após receber a notificação de amostras não conformes enviada da Soroteca;</w:t>
      </w:r>
      <w:r>
        <w:br/>
      </w:r>
      <w:r>
        <w:br/>
      </w:r>
      <w:r>
        <w:t>Como:</w:t>
      </w:r>
      <w:r>
        <w:br/>
      </w:r>
      <w:r>
        <w:t xml:space="preserve">Tarefa 1: </w:t>
      </w:r>
      <w:r>
        <w:t>Acessar sistema com Login e Senha; </w:t>
      </w:r>
      <w:r>
        <w:br/>
      </w:r>
      <w:r>
        <w:t xml:space="preserve">Tarefa 2: </w:t>
      </w:r>
      <w:r>
        <w:t>Abrir o módulo de sorologia;</w:t>
      </w:r>
      <w:r>
        <w:br/>
      </w:r>
      <w:r>
        <w:t xml:space="preserve">Tarefa 3: </w:t>
      </w:r>
      <w:r>
        <w:t>Verificar a listagem de amostras não conformes;</w:t>
      </w:r>
      <w:r>
        <w:br/>
      </w:r>
      <w:r>
        <w:t xml:space="preserve">Tarefa 4: </w:t>
      </w:r>
      <w:r>
        <w:t>Analisar as intercorrências (hemólise, lipemia e outros) descritas no formulário;</w:t>
      </w:r>
      <w:r>
        <w:br/>
      </w:r>
      <w:r>
        <w:t xml:space="preserve">Tarefa 5: </w:t>
      </w:r>
      <w:r>
        <w:t>Preencher as informações solicitadas;</w:t>
      </w:r>
      <w:r>
        <w:br/>
      </w:r>
      <w:r>
        <w:t xml:space="preserve">Tarefa 6: </w:t>
      </w:r>
      <w:r>
        <w:t>Selecionar a opção emitir memorando;</w:t>
      </w:r>
      <w:r>
        <w:br/>
      </w:r>
      <w:r>
        <w:t xml:space="preserve">Observação: </w:t>
      </w:r>
    </w:p>
    <w:p>
      <w:pPr>
        <w:pStyle w:val="ModelerNormal"/>
        <w:spacing w:afterAutospacing="1"/>
      </w:pPr>
      <w:r>
        <w:t xml:space="preserve">1- </w:t>
      </w:r>
      <w:r>
        <w:t>O memorando deverá ser disponibiilizado para o setor de enfermagem (serviço social), para posterior convocação do doador para realizar coleta de 2ª amostra e ao setor de processamento, para que o mesmo prossiga com expurgo da bolsa corresponte à amostra.</w:t>
      </w:r>
      <w:r>
        <w:br/>
      </w:r>
      <w:r>
        <w:br/>
      </w:r>
      <w:r>
        <w:t>Por que essa atividade acontece?</w:t>
      </w:r>
      <w:r>
        <w:br/>
      </w:r>
      <w:r>
        <w:t>Essa atividade acontece porque é necessário emitir memorando com as informações das amostras não conforme para posterior envio aos setores correspondentes.</w:t>
      </w:r>
    </w:p>
    <w:p>
      <w:pPr>
        <w:pStyle w:val="bizHeading4"/>
      </w:pPr>
      <w:bookmarkStart w:id="21" w:name="_Toc256000017"/>
      <w:r>
        <w:drawing>
          <wp:inline>
            <wp:extent cx="152421" cy="152421"/>
            <wp:docPr id="6035413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35333"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Liberar</w:t>
      </w:r>
      <w:bookmarkEnd w:id="21"/>
    </w:p>
    <w:p/>
    <w:p>
      <w:pPr>
        <w:pStyle w:val="bizHeading4"/>
      </w:pPr>
      <w:bookmarkStart w:id="22" w:name="_Toc256000018"/>
      <w:r>
        <w:drawing>
          <wp:inline>
            <wp:extent cx="152421" cy="152421"/>
            <wp:docPr id="6873530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49654"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7. Liberar amostras</w:t>
      </w:r>
      <w:bookmarkEnd w:id="22"/>
    </w:p>
    <w:p/>
    <w:p>
      <w:pPr>
        <w:pStyle w:val="BoldModelerNormal"/>
      </w:pPr>
      <w:r>
        <w:t>Descrição</w:t>
      </w:r>
    </w:p>
    <w:p>
      <w:pPr>
        <w:pStyle w:val="ModelerNormal"/>
        <w:spacing w:afterAutospacing="1"/>
      </w:pPr>
      <w:r>
        <w:t xml:space="preserve">Onde: </w:t>
      </w:r>
      <w:r>
        <w:t>Sistema SIRHO</w:t>
      </w:r>
      <w:r>
        <w:br/>
      </w:r>
      <w:r>
        <w:br/>
      </w:r>
      <w:r>
        <w:t xml:space="preserve">O que: </w:t>
      </w:r>
      <w:r>
        <w:t>Liberar resultados</w:t>
      </w:r>
      <w:r>
        <w:br/>
      </w:r>
      <w:r>
        <w:br/>
      </w:r>
      <w:r>
        <w:t xml:space="preserve">Quando: </w:t>
      </w:r>
      <w:r>
        <w:br/>
      </w:r>
      <w:r>
        <w:br/>
      </w:r>
      <w:r>
        <w:t>Como:</w:t>
      </w:r>
      <w:r>
        <w:br/>
      </w:r>
      <w:r>
        <w:t xml:space="preserve">Tarefa 1: </w:t>
      </w:r>
      <w:r>
        <w:t>Abrir aba das amostras registradas com o status de pendente;</w:t>
      </w:r>
      <w:r>
        <w:br/>
      </w:r>
      <w:r>
        <w:t>Tarefa 2:</w:t>
      </w:r>
      <w:r>
        <w:t xml:space="preserve"> Selecionar o resultado das amostras (reagente, não reagente);</w:t>
      </w:r>
    </w:p>
    <w:p>
      <w:pPr>
        <w:pStyle w:val="ModelerNormal"/>
        <w:spacing w:afterAutospacing="1"/>
      </w:pPr>
      <w:r>
        <w:t>Observação:</w:t>
      </w:r>
    </w:p>
    <w:p>
      <w:pPr>
        <w:pStyle w:val="ModelerNormal"/>
        <w:spacing w:afterAutospacing="1"/>
      </w:pPr>
      <w:r>
        <w:t xml:space="preserve">1- </w:t>
      </w:r>
      <w:r>
        <w:t>As amostras reagentes deverão ser bloqueadas no sistema SIHRO</w:t>
      </w:r>
      <w:r>
        <w:br/>
      </w:r>
      <w:r>
        <w:t xml:space="preserve">Tarefa 3: </w:t>
      </w:r>
      <w:r>
        <w:t>Será exibido a lista com as amostras pendentes/bloqueadas no sistema;</w:t>
      </w:r>
      <w:r>
        <w:br/>
      </w:r>
      <w:r>
        <w:t xml:space="preserve">Tarefa 4: </w:t>
      </w:r>
      <w:r>
        <w:t>Dar ciência no sistema confirmando a liberação das amostras pendentes</w:t>
      </w:r>
      <w:r>
        <w:t>.</w:t>
      </w:r>
      <w:r>
        <w:br/>
      </w:r>
      <w:r>
        <w:br/>
      </w:r>
      <w:r>
        <w:t>Por que essa atividade acontece?</w:t>
      </w:r>
      <w:r>
        <w:t xml:space="preserve"> </w:t>
      </w:r>
      <w:r>
        <w:br/>
      </w:r>
      <w:r>
        <w:t>Essa atividade acontece porque é necessário realizar a liberação das amostras (reagentes/não reagentes), para posterior divulgação.</w:t>
      </w:r>
    </w:p>
    <w:p>
      <w:pPr>
        <w:pStyle w:val="bizHeading4"/>
      </w:pPr>
      <w:bookmarkStart w:id="23" w:name="_Toc256000019"/>
      <w:r>
        <w:drawing>
          <wp:inline>
            <wp:extent cx="152421" cy="152421"/>
            <wp:docPr id="20875576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05690"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Divulgar</w:t>
      </w:r>
      <w:bookmarkEnd w:id="23"/>
    </w:p>
    <w:p/>
    <w:p>
      <w:pPr>
        <w:pStyle w:val="bizHeading4"/>
      </w:pPr>
      <w:bookmarkStart w:id="24" w:name="_Toc256000020"/>
      <w:r>
        <w:drawing>
          <wp:inline>
            <wp:extent cx="152421" cy="152421"/>
            <wp:docPr id="16820059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668545"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8. Divulgar resultados</w:t>
      </w:r>
      <w:bookmarkEnd w:id="24"/>
    </w:p>
    <w:p/>
    <w:p>
      <w:pPr>
        <w:pStyle w:val="BoldModelerNormal"/>
      </w:pPr>
      <w:r>
        <w:t>Descrição</w:t>
      </w:r>
    </w:p>
    <w:p>
      <w:pPr>
        <w:pStyle w:val="ModelerNormal"/>
        <w:spacing w:afterAutospacing="1"/>
      </w:pPr>
      <w:r>
        <w:t xml:space="preserve">Onde: </w:t>
      </w:r>
      <w:r>
        <w:t>Sistema SIHRO</w:t>
      </w:r>
      <w:r>
        <w:br/>
      </w:r>
      <w:r>
        <w:br/>
      </w:r>
      <w:r>
        <w:t xml:space="preserve">O que: </w:t>
      </w:r>
      <w:r>
        <w:t>Divulgar resultados dos exames</w:t>
      </w:r>
      <w:r>
        <w:br/>
      </w:r>
      <w:r>
        <w:br/>
      </w:r>
      <w:r>
        <w:t>Quando:</w:t>
      </w:r>
      <w:r>
        <w:br/>
      </w:r>
      <w:r>
        <w:t> </w:t>
      </w:r>
      <w:r>
        <w:br/>
      </w:r>
      <w:r>
        <w:t>Como:</w:t>
      </w:r>
      <w:r>
        <w:br/>
      </w:r>
      <w:r>
        <w:t>Resultado positivo/negativo</w:t>
      </w:r>
      <w:r>
        <w:br/>
      </w:r>
      <w:r>
        <w:br/>
      </w:r>
      <w:r>
        <w:t>Processamento:</w:t>
      </w:r>
      <w:r>
        <w:br/>
      </w:r>
      <w:r>
        <w:t xml:space="preserve">Tarefa 1: </w:t>
      </w:r>
      <w:r>
        <w:t>Abrir a aba cadastro;</w:t>
      </w:r>
      <w:r>
        <w:br/>
      </w:r>
      <w:r>
        <w:t xml:space="preserve">Tarefa 2: </w:t>
      </w:r>
      <w:r>
        <w:t>Selecionar "exame de rotina";</w:t>
      </w:r>
      <w:r>
        <w:br/>
      </w:r>
      <w:r>
        <w:t xml:space="preserve">Tarefa 3: </w:t>
      </w:r>
      <w:r>
        <w:t>Escolher a opção divulgação de exame para processamento (irá abrir a página identificação do usuário);</w:t>
      </w:r>
      <w:r>
        <w:br/>
      </w:r>
      <w:r>
        <w:t xml:space="preserve">Tarefa 4: </w:t>
      </w:r>
      <w:r>
        <w:t>Preencher campo com o nome do responsável e senha e apertar OK;</w:t>
      </w:r>
      <w:r>
        <w:br/>
      </w:r>
      <w:r>
        <w:t>Observação:</w:t>
      </w:r>
    </w:p>
    <w:p>
      <w:pPr>
        <w:pStyle w:val="ModelerNormal"/>
        <w:spacing w:afterAutospacing="1"/>
      </w:pPr>
      <w:r>
        <w:t>1-</w:t>
      </w:r>
      <w:r>
        <w:t xml:space="preserve"> Somente o biomédico responsável poderá divulgar os resultados.</w:t>
      </w:r>
      <w:r>
        <w:br/>
      </w:r>
      <w:r>
        <w:t xml:space="preserve">Tarefa 5: </w:t>
      </w:r>
      <w:r>
        <w:t>Confirmar a data do exame e protocolo do referente dia da rotina (irá abrir a página "verificar parâmetro do dia")</w:t>
      </w:r>
    </w:p>
    <w:p>
      <w:pPr>
        <w:pStyle w:val="ModelerNormal"/>
        <w:spacing w:afterAutospacing="1"/>
      </w:pPr>
      <w:r>
        <w:t xml:space="preserve">Observação: </w:t>
      </w:r>
    </w:p>
    <w:p>
      <w:pPr>
        <w:pStyle w:val="ModelerNormal"/>
        <w:spacing w:afterAutospacing="1"/>
      </w:pPr>
      <w:r>
        <w:t>1-</w:t>
      </w:r>
      <w:r>
        <w:t xml:space="preserve"> Caso seja esquecido o cadastro de algum parâmetro diário anteriormente, o sistema irá emitir uma notificação alertando, pois o mesmo so irá prosseguir depois de todos os parâmetros estiverem registrados.</w:t>
      </w:r>
      <w:r>
        <w:br/>
      </w:r>
      <w:r>
        <w:t>Tarefa</w:t>
      </w:r>
      <w:r>
        <w:t xml:space="preserve"> 6: </w:t>
      </w:r>
      <w:r>
        <w:t>Selecionar a opção "Selecionar agora" para divulgar os resultados para o processamento;</w:t>
      </w:r>
    </w:p>
    <w:p>
      <w:pPr>
        <w:pStyle w:val="ModelerNormal"/>
        <w:spacing w:afterAutospacing="1"/>
      </w:pPr>
      <w:r>
        <w:t>Observação:</w:t>
      </w:r>
    </w:p>
    <w:p>
      <w:pPr>
        <w:pStyle w:val="ModelerNormal"/>
        <w:spacing w:afterAutospacing="1"/>
      </w:pPr>
      <w:r>
        <w:t>1-</w:t>
      </w:r>
      <w:r>
        <w:t xml:space="preserve"> Será emitido um alerta no setor do processamento sobre a disponibilização dos exames.</w:t>
      </w:r>
    </w:p>
    <w:p>
      <w:pPr>
        <w:pStyle w:val="ModelerNormal"/>
        <w:spacing w:afterAutospacing="1"/>
      </w:pPr>
      <w:r>
        <w:t xml:space="preserve">Serviço Social/Recepção: </w:t>
      </w:r>
      <w:r>
        <w:br/>
      </w:r>
      <w:r>
        <w:t xml:space="preserve">Tarefa 1: </w:t>
      </w:r>
      <w:r>
        <w:t>Abrir a aba cadastro;</w:t>
      </w:r>
      <w:r>
        <w:br/>
      </w:r>
      <w:r>
        <w:t xml:space="preserve">Tarefa 2: </w:t>
      </w:r>
      <w:r>
        <w:t>Selecionar "exame de rotina";</w:t>
      </w:r>
      <w:r>
        <w:br/>
      </w:r>
      <w:r>
        <w:t xml:space="preserve">Tarefa 3: </w:t>
      </w:r>
      <w:r>
        <w:t>Divulgação de exame para doador (abrirá a página resultado de exames);</w:t>
      </w:r>
      <w:r>
        <w:br/>
      </w:r>
      <w:r>
        <w:t xml:space="preserve">Tarefa 4: </w:t>
      </w:r>
      <w:r>
        <w:t>Preencher data do exame e local (hemocentro coordenador ou hemocentro interior);</w:t>
      </w:r>
      <w:r>
        <w:br/>
      </w:r>
      <w:r>
        <w:t xml:space="preserve">Tarefa 5: </w:t>
      </w:r>
      <w:r>
        <w:t>Abrir aba "resultado de exame/mapa diário";</w:t>
      </w:r>
      <w:r>
        <w:br/>
      </w:r>
      <w:r>
        <w:t xml:space="preserve">Tarefa 6: </w:t>
      </w:r>
      <w:r>
        <w:t>Selecionar a opção "divulgar para todos", logo após será disponibilizado para o serviço social e recepção.</w:t>
      </w:r>
    </w:p>
    <w:p>
      <w:pPr>
        <w:pStyle w:val="ModelerNormal"/>
        <w:spacing w:afterAutospacing="1"/>
      </w:pPr>
      <w:r>
        <w:t>Observação:</w:t>
      </w:r>
      <w:r>
        <w:br/>
      </w:r>
      <w:r>
        <w:t xml:space="preserve">1- </w:t>
      </w:r>
      <w:r>
        <w:t>Quando o resultado for positivo, a sorologia precisará enviar uma notificação para o serviço social convocar o doador para uma 2ª amostra.</w:t>
      </w:r>
      <w:r>
        <w:br/>
      </w:r>
      <w:r>
        <w:br/>
      </w:r>
      <w:r>
        <w:t>Hemocentro interior: (Quando o interior estiver utilizando o sistema SIHRO)</w:t>
      </w:r>
      <w:r>
        <w:br/>
      </w:r>
      <w:r>
        <w:t xml:space="preserve">Tarefa 1: </w:t>
      </w:r>
      <w:r>
        <w:t>Vefiricar notificação recebida pelo Hemocentro coordenador sobre o resultado dos exames</w:t>
      </w:r>
    </w:p>
    <w:p>
      <w:pPr>
        <w:pStyle w:val="ModelerNormal"/>
        <w:spacing w:afterAutospacing="1"/>
      </w:pPr>
      <w:r>
        <w:t>Observação:</w:t>
      </w:r>
    </w:p>
    <w:p>
      <w:pPr>
        <w:pStyle w:val="ModelerNormal"/>
        <w:spacing w:afterAutospacing="1"/>
      </w:pPr>
      <w:r>
        <w:t>1-</w:t>
      </w:r>
      <w:r>
        <w:t xml:space="preserve"> Os hemocentros do interior receberão uma notificação pelo sistema SIHRO sobre a disponibilidade para consulta dos exames concluídos.</w:t>
      </w:r>
      <w:r>
        <w:br/>
      </w:r>
      <w:r>
        <w:t>Hemocentro interior:</w:t>
      </w:r>
      <w:r>
        <w:br/>
      </w:r>
      <w:r>
        <w:t xml:space="preserve">Tarefa 1: </w:t>
      </w:r>
      <w:r>
        <w:t>Abrir a Resultados;</w:t>
      </w:r>
      <w:r>
        <w:br/>
      </w:r>
      <w:r>
        <w:t xml:space="preserve">Tarefa 2: </w:t>
      </w:r>
      <w:r>
        <w:t>Selecionar a opção "seleção para impressão";</w:t>
      </w:r>
      <w:r>
        <w:br/>
      </w:r>
      <w:r>
        <w:t xml:space="preserve">Tarefa 3: </w:t>
      </w:r>
      <w:r>
        <w:t>Selecionar a opção "mapa das amostras sem imunohematologia";</w:t>
      </w:r>
      <w:r>
        <w:br/>
      </w:r>
      <w:r>
        <w:t xml:space="preserve">Tarefa 4: </w:t>
      </w:r>
      <w:r>
        <w:t>Preencher a data e período do exame;</w:t>
      </w:r>
      <w:r>
        <w:br/>
      </w:r>
      <w:r>
        <w:t xml:space="preserve">Tarefa 5: </w:t>
      </w:r>
      <w:r>
        <w:t>Selecionar o hemocentro que irá destinar os resultados dos exames;</w:t>
      </w:r>
      <w:r>
        <w:br/>
      </w:r>
      <w:r>
        <w:t xml:space="preserve">Tarefa 6: </w:t>
      </w:r>
      <w:r>
        <w:t>Selecionar a opção imprimir (abrirá a página com os exames liberados daquele respectivo hemocentro selecionado anteriormente).</w:t>
      </w:r>
      <w:r>
        <w:br/>
      </w:r>
      <w:r>
        <w:t xml:space="preserve">Tarefa 7: </w:t>
      </w:r>
      <w:r>
        <w:t>Selecionar a opção PDF;</w:t>
      </w:r>
      <w:r>
        <w:br/>
      </w:r>
      <w:r>
        <w:t xml:space="preserve">Tarefa 8: </w:t>
      </w:r>
      <w:r>
        <w:t>Enviar aquivo PDF via e-mail para o hemocentro correspondente;</w:t>
      </w:r>
    </w:p>
    <w:p>
      <w:pPr>
        <w:pStyle w:val="ModelerNormal"/>
        <w:spacing w:afterAutospacing="1"/>
      </w:pPr>
      <w:r>
        <w:t xml:space="preserve">Observação: </w:t>
      </w:r>
      <w:r>
        <w:br/>
      </w:r>
      <w:r>
        <w:t xml:space="preserve">1- </w:t>
      </w:r>
      <w:r>
        <w:t>Caso haja amostras pendentes, será enviado o arquivo "amostras pendentes",, via e-mail.</w:t>
      </w:r>
      <w:r>
        <w:br/>
      </w:r>
      <w:r>
        <w:br/>
      </w:r>
      <w:r>
        <w:t>Por que essa atividade acontece?</w:t>
      </w:r>
      <w:r>
        <w:br/>
      </w:r>
      <w:r>
        <w:t>Essa atividade acontece porque é necessário divulgar os resultados dos exames para o hemocentro coordenador e os hemocentros do interior.</w:t>
      </w:r>
      <w:r>
        <w:br/>
      </w:r>
      <w:r>
        <w:t> </w:t>
      </w:r>
    </w:p>
    <w:p>
      <w:pPr>
        <w:pStyle w:val="ModelerNormal"/>
        <w:spacing w:afterAutospacing="1"/>
      </w:pPr>
      <w:r>
        <w:t>PORTARIA Nº 158, DE 4 DE FEVEREIRO DE 2016 </w:t>
      </w:r>
      <w:r>
        <w:t xml:space="preserve"> </w:t>
      </w:r>
    </w:p>
    <w:p>
      <w:pPr>
        <w:pStyle w:val="ModelerNormal"/>
        <w:spacing w:afterAutospacing="1"/>
      </w:pPr>
      <w:r>
        <w:t>§ 16. As bolsas cujas amostras individuais forem positivas ou inconclusivas nos testes NAT ou que tenham resultados discrepantes com os testes sorológicos serão descartadas, e o doador será convocado para repetição dos testes em nova amostra e/ou orientação.</w:t>
      </w:r>
    </w:p>
    <w:p>
      <w:pPr>
        <w:pStyle w:val="bizHeading4"/>
      </w:pPr>
      <w:bookmarkStart w:id="25" w:name="_Toc256000021"/>
      <w:r>
        <w:drawing>
          <wp:inline>
            <wp:extent cx="152421" cy="152421"/>
            <wp:docPr id="12428515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29197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1. Consultar exame</w:t>
      </w:r>
      <w:bookmarkEnd w:id="25"/>
    </w:p>
    <w:p/>
    <w:p>
      <w:pPr>
        <w:pStyle w:val="BoldModelerNormal"/>
      </w:pPr>
      <w:r>
        <w:t>Descrição</w:t>
      </w:r>
    </w:p>
    <w:p>
      <w:pPr>
        <w:pStyle w:val="ModelerNormal"/>
        <w:spacing w:afterAutospacing="1"/>
      </w:pPr>
      <w:r>
        <w:t xml:space="preserve">Onde: </w:t>
      </w:r>
      <w:r>
        <w:t>Sistema SIHRO</w:t>
      </w:r>
      <w:r>
        <w:br/>
      </w:r>
      <w:r>
        <w:br/>
      </w:r>
      <w:r>
        <w:t xml:space="preserve">O que: </w:t>
      </w:r>
      <w:r>
        <w:t>Consultar exame de malária</w:t>
      </w:r>
      <w:r>
        <w:br/>
      </w:r>
      <w:r>
        <w:br/>
      </w:r>
      <w:r>
        <w:t>Quando:</w:t>
      </w:r>
      <w:r>
        <w:br/>
      </w:r>
      <w:r>
        <w:br/>
      </w:r>
      <w:r>
        <w:t>Como:</w:t>
      </w:r>
      <w:r>
        <w:br/>
      </w:r>
      <w:r>
        <w:t xml:space="preserve">Tarefa 1: </w:t>
      </w:r>
      <w:r>
        <w:t>Acessar sistema com Login e Senha;</w:t>
      </w:r>
      <w:r>
        <w:br/>
      </w:r>
      <w:r>
        <w:t xml:space="preserve">Tarefa 2: </w:t>
      </w:r>
      <w:r>
        <w:t>Abrir o módulo de sorologia;</w:t>
      </w:r>
      <w:r>
        <w:br/>
      </w:r>
      <w:r>
        <w:t xml:space="preserve">Tarefa 3: </w:t>
      </w:r>
      <w:r>
        <w:t>Verificar notificação dos exames de malária disponíveis para consulta.</w:t>
      </w:r>
      <w:r>
        <w:br/>
      </w:r>
      <w:r>
        <w:t xml:space="preserve">Tarefa 4: </w:t>
      </w:r>
      <w:r>
        <w:t>Analisar os dados correspondente aos resultados das amostras.</w:t>
      </w:r>
      <w:r>
        <w:br/>
      </w:r>
      <w:r>
        <w:t xml:space="preserve">Tarefa 5: </w:t>
      </w:r>
      <w:r>
        <w:t>Se o resultado for reagente o biomédico irá bloquear a amostra, se não reagente a amostra será liberada para posterior divulgação.</w:t>
      </w:r>
      <w:r>
        <w:br/>
      </w:r>
      <w:r>
        <w:br/>
      </w:r>
      <w:r>
        <w:t>Por que essa atividade acontece?</w:t>
      </w:r>
      <w:r>
        <w:br/>
      </w:r>
      <w:r>
        <w:t>Essa atividade acontece porque é necessário consultar exames de malária para posterior divulgação ao setores correspondentes.</w:t>
      </w:r>
    </w:p>
    <w:p>
      <w:pPr>
        <w:pStyle w:val="bizHeading4"/>
      </w:pPr>
      <w:bookmarkStart w:id="26" w:name="_Toc256000022"/>
      <w:r>
        <w:drawing>
          <wp:inline>
            <wp:extent cx="152421" cy="152421"/>
            <wp:docPr id="19617796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138026"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Divulgar</w:t>
      </w:r>
      <w:bookmarkEnd w:id="26"/>
    </w:p>
    <w:p/>
    <w:p/>
    <w:sectPr>
      <w:pgSz w:w="12240" w:h="15840"/>
      <w:pgMar w:top="1616" w:right="1701" w:bottom="1418" w:left="1701" w:header="708" w:footer="708"/>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Neo Sans Std">
    <w:panose1 w:val="020B0504030504040204"/>
    <w:charset w:val="00"/>
    <w:family w:val="swiss"/>
    <w:pitch w:val="variable"/>
    <w:sig w:usb0="800000AF" w:usb1="5000205B" w:usb2="00000000" w:usb3="00000000" w:csb0="00000001" w:csb1="00000000"/>
  </w:font>
  <w:font w:name="Aller">
    <w:altName w:val="Corbel"/>
    <w:panose1 w:val="02000503030000020004"/>
    <w:charset w:val="00"/>
    <w:family w:val="auto"/>
    <w:pitch w:val="variable"/>
    <w:sig w:usb0="00000001" w:usb1="5000205B" w:usb2="00000000" w:usb3="00000000" w:csb0="00000093" w:csb1="00000000"/>
  </w:font>
  <w:font w:name="Aller Light">
    <w:altName w:val="Corbel"/>
    <w:panose1 w:val="02000503000000020004"/>
    <w:charset w:val="00"/>
    <w:family w:val="auto"/>
    <w:pitch w:val="variable"/>
    <w:sig w:usb0="00000001" w:usb1="5000205B"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light">
    <w:panose1 w:val="020B0402040204020203"/>
    <w:charset w:val="00"/>
    <w:family w:val="swiss"/>
    <w:pitch w:val="variable"/>
    <w:sig w:usb0="E4002EFF" w:usb1="C000E47F" w:usb2="00000009" w:usb3="00000000" w:csb0="000001FF" w:csb1="00000000"/>
  </w:font>
  <w:font w:name="Vrinda">
    <w:panose1 w:val="00000400000000000000"/>
    <w:charset w:val="01"/>
    <w:family w:val="roman"/>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P="00F05C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603BE" w:rsidP="00B603B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86E" w:rsidRPr="003B5308" w:rsidP="003B5308">
    <w:pPr>
      <w:pStyle w:val="Footer"/>
      <w:rPr>
        <w:i/>
        <w:iCs/>
        <w:lang w:val="es-CO"/>
      </w:rPr>
    </w:pPr>
    <w:r>
      <w:rPr>
        <w:i/>
        <w:iCs/>
        <w:noProof/>
        <w:lang w:val="es-CO" w:eastAsia="es-CO" w:bidi="bn-IN"/>
      </w:rPr>
      <w:pict>
        <v:shapetype id="_x0000_t202" coordsize="21600,21600" o:spt="202" path="m,l,21600r21600,l21600,xe">
          <v:stroke joinstyle="miter"/>
          <v:path gradientshapeok="t" o:connecttype="rect"/>
        </v:shapetype>
        <v:shape id="_x0000_s2051" type="#_x0000_t202" style="width:103.2pt;height:26.5pt;margin-top:-19.35pt;margin-left:-46.95pt;position:absolute;z-index:-251658240" stroked="f">
          <v:textbox>
            <w:txbxContent>
              <w:p w:rsidR="003B5308" w:rsidRPr="003B5308">
                <w:pPr>
                  <w:rPr>
                    <w:rFonts w:cs="Segoe UI"/>
                    <w:i/>
                    <w:iCs/>
                    <w:lang w:val="es-CO"/>
                  </w:rPr>
                </w:pPr>
                <w:hyperlink r:id="rId1" w:history="1">
                  <w:r w:rsidRPr="003B5308">
                    <w:rPr>
                      <w:rStyle w:val="Hyperlink"/>
                      <w:rFonts w:cs="Segoe UI"/>
                      <w:i/>
                      <w:iCs/>
                      <w:lang w:val="es-CO"/>
                    </w:rPr>
                    <w:t>www.bizag</w:t>
                  </w:r>
                  <w:r w:rsidRPr="003B5308">
                    <w:rPr>
                      <w:rStyle w:val="Hyperlink"/>
                      <w:rFonts w:cs="Segoe UI"/>
                      <w:i/>
                      <w:iCs/>
                      <w:lang w:val="es-CO"/>
                    </w:rPr>
                    <w:t>i</w:t>
                  </w:r>
                  <w:r w:rsidRPr="003B5308">
                    <w:rPr>
                      <w:rStyle w:val="Hyperlink"/>
                      <w:rFonts w:cs="Segoe UI"/>
                      <w:i/>
                      <w:iCs/>
                      <w:lang w:val="es-CO"/>
                    </w:rPr>
                    <w:t>.com</w:t>
                  </w:r>
                </w:hyperlink>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308">
    <w:pPr>
      <w:pStyle w:val="Footer"/>
    </w:pPr>
    <w:r>
      <w:rPr>
        <w:noProof/>
        <w:lang w:val="es-CO" w:eastAsia="es-CO" w:bidi="bn-IN"/>
      </w:rPr>
      <w:pict>
        <v:shapetype id="_x0000_t202" coordsize="21600,21600" o:spt="202" path="m,l,21600r21600,l21600,xe">
          <v:stroke joinstyle="miter"/>
          <v:path gradientshapeok="t" o:connecttype="rect"/>
        </v:shapetype>
        <v:shape id="_x0000_s2052" type="#_x0000_t202" style="width:103.2pt;height:26.5pt;margin-top:-16.45pt;margin-left:-49.65pt;position:absolute;z-index:251659264" stroked="f">
          <v:textbox>
            <w:txbxContent>
              <w:p w:rsidR="003B5308" w:rsidRPr="003B5308" w:rsidP="003B5308">
                <w:pPr>
                  <w:rPr>
                    <w:rFonts w:cs="Segoe UI"/>
                    <w:i/>
                    <w:iCs/>
                    <w:lang w:val="es-CO"/>
                  </w:rPr>
                </w:pPr>
                <w:hyperlink r:id="rId1" w:history="1">
                  <w:r w:rsidRPr="003B5308">
                    <w:rPr>
                      <w:rStyle w:val="Hyperlink"/>
                      <w:rFonts w:cs="Segoe UI"/>
                      <w:i/>
                      <w:iCs/>
                      <w:lang w:val="es-CO"/>
                    </w:rPr>
                    <w:t>www.bizagi.com</w:t>
                  </w:r>
                </w:hyperlink>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AE3ACF" w:rsidP="006A5345">
    <w:pPr>
      <w:pStyle w:val="Confidential"/>
      <w:jc w:val="center"/>
    </w:pPr>
    <w:r w:rsidR="00A50009">
      <w:t>www.bizagi.com</w:t>
    </w:r>
    <w:r w:rsidR="00463079">
      <w:t xml:space="preserve">                                          </w:t>
    </w:r>
    <w:r w:rsidR="00A50009">
      <w:t xml:space="preserve">  </w:t>
    </w:r>
    <w:r w:rsidR="00463079">
      <w:t xml:space="preserve">     </w:t>
    </w:r>
    <w:r w:rsidRPr="00463079" w:rsidR="00463079">
      <w:rPr>
        <w:sz w:val="18"/>
        <w:szCs w:val="18"/>
      </w:rPr>
      <w:t>Confidential</w:t>
    </w:r>
    <w:r w:rsidR="00463079">
      <w:t xml:space="preserve">                        </w:t>
    </w:r>
    <w:r w:rsidR="00A50009">
      <w:t xml:space="preserve">                       </w:t>
    </w:r>
    <w:r w:rsidR="00A33804">
      <w:t xml:space="preserve">               </w:t>
    </w:r>
    <w:r w:rsidRPr="00A50009" w:rsidR="00463079">
      <w:rPr>
        <w:i w:val="0"/>
        <w:iCs/>
        <w:sz w:val="18"/>
        <w:szCs w:val="18"/>
      </w:rPr>
      <w:t xml:space="preserve">| </w:t>
    </w:r>
    <w:r w:rsidRPr="00A50009" w:rsidR="00463079">
      <w:rPr>
        <w:i w:val="0"/>
        <w:iCs/>
        <w:sz w:val="18"/>
        <w:szCs w:val="18"/>
      </w:rPr>
      <w:fldChar w:fldCharType="begin"/>
    </w:r>
    <w:r w:rsidRPr="00A50009" w:rsidR="00463079">
      <w:rPr>
        <w:i w:val="0"/>
        <w:iCs/>
        <w:sz w:val="18"/>
        <w:szCs w:val="18"/>
      </w:rPr>
      <w:instrText xml:space="preserve"> PAGE   \* MERGEFORMAT </w:instrText>
    </w:r>
    <w:r w:rsidRPr="00A50009" w:rsidR="00463079">
      <w:rPr>
        <w:i w:val="0"/>
        <w:iCs/>
        <w:sz w:val="18"/>
        <w:szCs w:val="18"/>
      </w:rPr>
      <w:fldChar w:fldCharType="separate"/>
    </w:r>
    <w:r w:rsidR="00032CAE">
      <w:rPr>
        <w:i w:val="0"/>
        <w:iCs/>
        <w:noProof/>
        <w:sz w:val="18"/>
        <w:szCs w:val="18"/>
      </w:rPr>
      <w:t>17</w:t>
    </w:r>
    <w:r w:rsidRPr="00A50009" w:rsidR="00463079">
      <w:rPr>
        <w:i w:val="0"/>
        <w:iCs/>
        <w:noProof/>
        <w:sz w:val="18"/>
        <w:szCs w:val="18"/>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rsidP="00275F9A">
    <w:pPr>
      <w:pStyle w:val="Head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168.53pt;height:46.21pt" stroked="f">
          <v:imagedata r:id="rId1" o:title=""/>
        </v:shape>
      </w:pict>
    </w:r>
    <w:r>
      <w:rPr>
        <w:noProof/>
      </w:rPr>
      <w:pict>
        <v:shape id="Picture 18" o:spid="_x0000_s2050" type="#_x0000_t75" style="width:602.95pt;height:432.85pt;margin-top:-35.25pt;margin-left:-84.45pt;mso-height-relative:margin;mso-width-relative:margin;position:absolute;visibility:visible;z-index:-251655168" filled="f" stroked="f">
          <v:imagedata r:id="rId2" o:title=""/>
          <o:lock v:ext="edit" aspectratio="t"/>
        </v:shape>
      </w:pict>
    </w:r>
  </w:p>
  <w:p w:rsidR="00275F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B603BE">
    <w:pPr>
      <w:pStyle w:val="Header"/>
      <w:rPr>
        <w:lang w:val="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3" type="#_x0000_t75" style="width:96.61pt;height:26.43pt" stroked="f">
          <v:imagedata r:id="rId1" o:titl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EE" w:rsidP="001B21EE">
    <w:pPr>
      <w:pStyle w:val="Head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4" type="#_x0000_t75" style="width:125.48pt;height:45.72pt" stroked="f">
          <v:imagedata r:id="rId1" o:title="bizagiLogo"/>
        </v:shape>
      </w:pict>
    </w:r>
  </w:p>
  <w:p w:rsidR="00275F9A">
    <w:pPr>
      <w:pStyle w:val="Header"/>
    </w:pPr>
    <w:r>
      <w:rPr>
        <w:noProof/>
      </w:rPr>
      <w:pict>
        <v:shape id="_x0000_s2055" type="#_x0000_t75" style="width:376.3pt;height:534.55pt;margin-top:151.95pt;margin-left:-85.4pt;mso-position-horizontal-relative:margin;mso-position-vertical-relative:margin;position:absolute;z-index:-251656192" stroked="f">
          <v:imagedata r:id="rId2" o:title="originalBizagiBackground"/>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D60A4"/>
    <w:multiLevelType w:val="multilevel"/>
    <w:tmpl w:val="D42ACEBE"/>
    <w:numStyleLink w:val="Headings"/>
  </w:abstractNum>
  <w:abstractNum w:abstractNumId="1">
    <w:nsid w:val="0A13321D"/>
    <w:multiLevelType w:val="multilevel"/>
    <w:tmpl w:val="C4520BEC"/>
    <w:lvl w:ilvl="0">
      <w:start w:val="1"/>
      <w:numFmt w:val="decimal"/>
      <w:pStyle w:val="bizHeading1"/>
      <w:lvlText w:val="%1"/>
      <w:lvlJc w:val="left"/>
      <w:pPr>
        <w:tabs>
          <w:tab w:val="num" w:pos="936"/>
        </w:tabs>
        <w:ind w:left="936" w:hanging="432"/>
      </w:pPr>
      <w:rPr>
        <w:rFonts w:hint="default"/>
      </w:rPr>
    </w:lvl>
    <w:lvl w:ilvl="1">
      <w:start w:val="1"/>
      <w:numFmt w:val="decimal"/>
      <w:pStyle w:val="bizHeading2"/>
      <w:lvlText w:val="%1.%2"/>
      <w:lvlJc w:val="left"/>
      <w:pPr>
        <w:tabs>
          <w:tab w:val="num" w:pos="1080"/>
        </w:tabs>
        <w:ind w:left="1080" w:hanging="576"/>
      </w:pPr>
      <w:rPr>
        <w:rFonts w:hint="default"/>
      </w:rPr>
    </w:lvl>
    <w:lvl w:ilvl="2">
      <w:start w:val="1"/>
      <w:numFmt w:val="decimal"/>
      <w:pStyle w:val="bizHeading3"/>
      <w:lvlText w:val="%1.%2.%3"/>
      <w:lvlJc w:val="left"/>
      <w:pPr>
        <w:tabs>
          <w:tab w:val="num" w:pos="1224"/>
        </w:tabs>
        <w:ind w:left="1224" w:hanging="720"/>
      </w:pPr>
      <w:rPr>
        <w:rFonts w:hint="default"/>
      </w:rPr>
    </w:lvl>
    <w:lvl w:ilvl="3">
      <w:start w:val="1"/>
      <w:numFmt w:val="decimal"/>
      <w:pStyle w:val="bizHeading4"/>
      <w:lvlText w:val="%1.%2.%3.%4"/>
      <w:lvlJc w:val="left"/>
      <w:pPr>
        <w:tabs>
          <w:tab w:val="num" w:pos="1368"/>
        </w:tabs>
        <w:ind w:left="1368" w:hanging="864"/>
      </w:pPr>
      <w:rPr>
        <w:rFonts w:hint="default"/>
        <w:b/>
        <w:i w:val="0"/>
        <w:sz w:val="20"/>
        <w:szCs w:val="20"/>
      </w:rPr>
    </w:lvl>
    <w:lvl w:ilvl="4">
      <w:start w:val="1"/>
      <w:numFmt w:val="decimal"/>
      <w:pStyle w:val="bizHeading5"/>
      <w:lvlText w:val="%1.%2.%3.%4.%5"/>
      <w:lvlJc w:val="left"/>
      <w:pPr>
        <w:tabs>
          <w:tab w:val="num" w:pos="1512"/>
        </w:tabs>
        <w:ind w:left="1512" w:hanging="1008"/>
      </w:pPr>
      <w:rPr>
        <w:rFonts w:hint="default"/>
      </w:rPr>
    </w:lvl>
    <w:lvl w:ilvl="5">
      <w:start w:val="1"/>
      <w:numFmt w:val="decimal"/>
      <w:pStyle w:val="Heading6"/>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nsid w:val="298877DF"/>
    <w:multiLevelType w:val="hybridMultilevel"/>
    <w:tmpl w:val="2FF64D5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C194FAE"/>
    <w:multiLevelType w:val="multilevel"/>
    <w:tmpl w:val="D42ACEBE"/>
    <w:numStyleLink w:val="Headings"/>
  </w:abstractNum>
  <w:abstractNum w:abstractNumId="4">
    <w:nsid w:val="44B055A6"/>
    <w:multiLevelType w:val="multilevel"/>
    <w:tmpl w:val="D42ACEBE"/>
    <w:numStyleLink w:val="Headings"/>
  </w:abstractNum>
  <w:abstractNum w:abstractNumId="5">
    <w:nsid w:val="4ACB189B"/>
    <w:multiLevelType w:val="multilevel"/>
    <w:tmpl w:val="35E627E4"/>
    <w:styleLink w:val="Headings"/>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6">
    <w:nsid w:val="4BE02392"/>
    <w:multiLevelType w:val="multilevel"/>
    <w:tmpl w:val="9B52074E"/>
    <w:numStyleLink w:val="Headings"/>
  </w:abstractNum>
  <w:abstractNum w:abstractNumId="7">
    <w:nsid w:val="681C5AA5"/>
    <w:multiLevelType w:val="multilevel"/>
    <w:tmpl w:val="35E627E4"/>
    <w:numStyleLink w:val="Headings"/>
  </w:abstractNum>
  <w:abstractNum w:abstractNumId="8">
    <w:nsid w:val="6A411E3C"/>
    <w:multiLevelType w:val="multilevel"/>
    <w:tmpl w:val="0F742404"/>
    <w:styleLink w:val="Lista1"/>
    <w:lvl w:ilvl="0">
      <w:start w:val="1"/>
      <w:numFmt w:val="bullet"/>
      <w:lvlText w:val=""/>
      <w:lvlJc w:val="left"/>
      <w:pPr>
        <w:tabs>
          <w:tab w:val="num" w:pos="1080"/>
        </w:tabs>
        <w:ind w:left="1080" w:hanging="360"/>
      </w:pPr>
      <w:rPr>
        <w:rFonts w:ascii="Symbol" w:hAnsi="Symbol"/>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9">
    <w:nsid w:val="6BAF63F9"/>
    <w:multiLevelType w:val="hybridMultilevel"/>
    <w:tmpl w:val="0BAADF2C"/>
    <w:lvl w:ilvl="0">
      <w:start w:val="1"/>
      <w:numFmt w:val="decimal"/>
      <w:pStyle w:val="bizHeadingBAS1"/>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6EC1314F"/>
    <w:multiLevelType w:val="hybridMultilevel"/>
    <w:tmpl w:val="0F64E4CC"/>
    <w:lvl w:ilvl="0">
      <w:start w:val="1"/>
      <w:numFmt w:val="bullet"/>
      <w:pStyle w:val="ListBullet"/>
      <w:lvlText w:val=""/>
      <w:lvlJc w:val="left"/>
      <w:pPr>
        <w:tabs>
          <w:tab w:val="num" w:pos="144"/>
        </w:tabs>
        <w:ind w:left="288" w:hanging="288"/>
      </w:pPr>
      <w:rPr>
        <w:rFonts w:ascii="Symbol" w:hAnsi="Symbol" w:hint="default"/>
        <w:sz w:val="16"/>
        <w:szCs w:val="16"/>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9"/>
  </w:num>
  <w:num w:numId="3">
    <w:abstractNumId w:val="10"/>
  </w:num>
  <w:num w:numId="4">
    <w:abstractNumId w:val="1"/>
  </w:num>
  <w:num w:numId="5">
    <w:abstractNumId w:val="5"/>
  </w:num>
  <w:num w:numId="6">
    <w:abstractNumId w:val="0"/>
  </w:num>
  <w:num w:numId="7">
    <w:abstractNumId w:val="3"/>
  </w:num>
  <w:num w:numId="8">
    <w:abstractNumId w:val="4"/>
  </w:num>
  <w:num w:numId="9">
    <w:abstractNumId w:val="6"/>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405D"/>
    <w:rsid w:val="000007FB"/>
    <w:rsid w:val="00000F1B"/>
    <w:rsid w:val="00003A15"/>
    <w:rsid w:val="00003D77"/>
    <w:rsid w:val="000074F6"/>
    <w:rsid w:val="00007736"/>
    <w:rsid w:val="00012BBE"/>
    <w:rsid w:val="00014F7C"/>
    <w:rsid w:val="00015341"/>
    <w:rsid w:val="00015ACC"/>
    <w:rsid w:val="00021707"/>
    <w:rsid w:val="0002310C"/>
    <w:rsid w:val="00025BD9"/>
    <w:rsid w:val="0003100E"/>
    <w:rsid w:val="00031F20"/>
    <w:rsid w:val="00032CAE"/>
    <w:rsid w:val="000400C4"/>
    <w:rsid w:val="00056796"/>
    <w:rsid w:val="000606FF"/>
    <w:rsid w:val="00062727"/>
    <w:rsid w:val="00064038"/>
    <w:rsid w:val="00071488"/>
    <w:rsid w:val="000734DA"/>
    <w:rsid w:val="00074D42"/>
    <w:rsid w:val="00074E36"/>
    <w:rsid w:val="000774A1"/>
    <w:rsid w:val="00084110"/>
    <w:rsid w:val="0008686E"/>
    <w:rsid w:val="00086D30"/>
    <w:rsid w:val="0008735C"/>
    <w:rsid w:val="00091358"/>
    <w:rsid w:val="000961EB"/>
    <w:rsid w:val="00097384"/>
    <w:rsid w:val="000B26D6"/>
    <w:rsid w:val="000B2900"/>
    <w:rsid w:val="000B4982"/>
    <w:rsid w:val="000B5018"/>
    <w:rsid w:val="000D0F74"/>
    <w:rsid w:val="000D2ECA"/>
    <w:rsid w:val="000D74E2"/>
    <w:rsid w:val="000E1245"/>
    <w:rsid w:val="000E1F68"/>
    <w:rsid w:val="000E2E00"/>
    <w:rsid w:val="000E4853"/>
    <w:rsid w:val="000E4AD1"/>
    <w:rsid w:val="000F0F39"/>
    <w:rsid w:val="000F5064"/>
    <w:rsid w:val="000F5CBC"/>
    <w:rsid w:val="00105188"/>
    <w:rsid w:val="00105811"/>
    <w:rsid w:val="00107B4C"/>
    <w:rsid w:val="00115201"/>
    <w:rsid w:val="0011555F"/>
    <w:rsid w:val="001244D0"/>
    <w:rsid w:val="00133DB2"/>
    <w:rsid w:val="0014099E"/>
    <w:rsid w:val="0014184E"/>
    <w:rsid w:val="001442E7"/>
    <w:rsid w:val="00146FD2"/>
    <w:rsid w:val="00152EF1"/>
    <w:rsid w:val="00153542"/>
    <w:rsid w:val="00153CDC"/>
    <w:rsid w:val="00154FD3"/>
    <w:rsid w:val="001572C1"/>
    <w:rsid w:val="00160AE1"/>
    <w:rsid w:val="00161BEE"/>
    <w:rsid w:val="001631E2"/>
    <w:rsid w:val="00163F1C"/>
    <w:rsid w:val="00165BDD"/>
    <w:rsid w:val="00167DB2"/>
    <w:rsid w:val="00170E80"/>
    <w:rsid w:val="001745B2"/>
    <w:rsid w:val="00175724"/>
    <w:rsid w:val="00184ACA"/>
    <w:rsid w:val="0018567E"/>
    <w:rsid w:val="001860BF"/>
    <w:rsid w:val="001911EC"/>
    <w:rsid w:val="001967F0"/>
    <w:rsid w:val="001A0D60"/>
    <w:rsid w:val="001A3D5B"/>
    <w:rsid w:val="001B21EE"/>
    <w:rsid w:val="001C22BE"/>
    <w:rsid w:val="001C251F"/>
    <w:rsid w:val="001D335C"/>
    <w:rsid w:val="001D77FC"/>
    <w:rsid w:val="001E527D"/>
    <w:rsid w:val="001E5639"/>
    <w:rsid w:val="001F3B82"/>
    <w:rsid w:val="001F5161"/>
    <w:rsid w:val="001F5727"/>
    <w:rsid w:val="00203170"/>
    <w:rsid w:val="00213E7F"/>
    <w:rsid w:val="0021548A"/>
    <w:rsid w:val="002313AF"/>
    <w:rsid w:val="002431E4"/>
    <w:rsid w:val="00245ACB"/>
    <w:rsid w:val="00245B5B"/>
    <w:rsid w:val="0024677B"/>
    <w:rsid w:val="002501A6"/>
    <w:rsid w:val="0025587E"/>
    <w:rsid w:val="00270F07"/>
    <w:rsid w:val="002732D9"/>
    <w:rsid w:val="0027569B"/>
    <w:rsid w:val="00275F9A"/>
    <w:rsid w:val="002945BF"/>
    <w:rsid w:val="002A1FD5"/>
    <w:rsid w:val="002A3185"/>
    <w:rsid w:val="002B3EFE"/>
    <w:rsid w:val="002B65BB"/>
    <w:rsid w:val="002B7464"/>
    <w:rsid w:val="002B7F64"/>
    <w:rsid w:val="002C4B5D"/>
    <w:rsid w:val="002C6201"/>
    <w:rsid w:val="002D20E4"/>
    <w:rsid w:val="002D6001"/>
    <w:rsid w:val="002D673C"/>
    <w:rsid w:val="002E0F27"/>
    <w:rsid w:val="002E7C7C"/>
    <w:rsid w:val="002F0FB6"/>
    <w:rsid w:val="00305B53"/>
    <w:rsid w:val="00312616"/>
    <w:rsid w:val="003201C8"/>
    <w:rsid w:val="003247EA"/>
    <w:rsid w:val="003263B4"/>
    <w:rsid w:val="00326B56"/>
    <w:rsid w:val="00326F94"/>
    <w:rsid w:val="00330E4C"/>
    <w:rsid w:val="00331169"/>
    <w:rsid w:val="0033261A"/>
    <w:rsid w:val="0033264A"/>
    <w:rsid w:val="00333651"/>
    <w:rsid w:val="00333A43"/>
    <w:rsid w:val="00334236"/>
    <w:rsid w:val="00342534"/>
    <w:rsid w:val="0034294D"/>
    <w:rsid w:val="00344C90"/>
    <w:rsid w:val="00344F17"/>
    <w:rsid w:val="00345DA2"/>
    <w:rsid w:val="00353FC8"/>
    <w:rsid w:val="00362E19"/>
    <w:rsid w:val="0036453B"/>
    <w:rsid w:val="00364B15"/>
    <w:rsid w:val="003715DB"/>
    <w:rsid w:val="00372ED7"/>
    <w:rsid w:val="00376C9A"/>
    <w:rsid w:val="00382F51"/>
    <w:rsid w:val="00384D6B"/>
    <w:rsid w:val="003859E7"/>
    <w:rsid w:val="00393D40"/>
    <w:rsid w:val="003A26CF"/>
    <w:rsid w:val="003A6EDD"/>
    <w:rsid w:val="003B5308"/>
    <w:rsid w:val="003C1C42"/>
    <w:rsid w:val="003D32DA"/>
    <w:rsid w:val="003D699F"/>
    <w:rsid w:val="003D7DE5"/>
    <w:rsid w:val="003E0728"/>
    <w:rsid w:val="003E28A5"/>
    <w:rsid w:val="003E48D4"/>
    <w:rsid w:val="003E5F9A"/>
    <w:rsid w:val="003E7AC4"/>
    <w:rsid w:val="003F36E3"/>
    <w:rsid w:val="0040021E"/>
    <w:rsid w:val="00402100"/>
    <w:rsid w:val="00402D66"/>
    <w:rsid w:val="00414DCE"/>
    <w:rsid w:val="00422C9A"/>
    <w:rsid w:val="004255C7"/>
    <w:rsid w:val="00425E09"/>
    <w:rsid w:val="0043331B"/>
    <w:rsid w:val="00440553"/>
    <w:rsid w:val="00443780"/>
    <w:rsid w:val="00445EDC"/>
    <w:rsid w:val="00447241"/>
    <w:rsid w:val="004478F1"/>
    <w:rsid w:val="00447FB2"/>
    <w:rsid w:val="00450B29"/>
    <w:rsid w:val="00451BB4"/>
    <w:rsid w:val="00456DF1"/>
    <w:rsid w:val="00463079"/>
    <w:rsid w:val="00463FAD"/>
    <w:rsid w:val="00473639"/>
    <w:rsid w:val="0048085A"/>
    <w:rsid w:val="00483741"/>
    <w:rsid w:val="00490365"/>
    <w:rsid w:val="00494A66"/>
    <w:rsid w:val="00497467"/>
    <w:rsid w:val="004A338C"/>
    <w:rsid w:val="004A4250"/>
    <w:rsid w:val="004A5B6B"/>
    <w:rsid w:val="004A7AA5"/>
    <w:rsid w:val="004B411D"/>
    <w:rsid w:val="004B66E5"/>
    <w:rsid w:val="004B6FAB"/>
    <w:rsid w:val="004C1A63"/>
    <w:rsid w:val="004C1B4C"/>
    <w:rsid w:val="004C2A9C"/>
    <w:rsid w:val="004C30E2"/>
    <w:rsid w:val="004C536F"/>
    <w:rsid w:val="004D16DF"/>
    <w:rsid w:val="004D7B3B"/>
    <w:rsid w:val="004F1444"/>
    <w:rsid w:val="004F48B3"/>
    <w:rsid w:val="00500120"/>
    <w:rsid w:val="005012CE"/>
    <w:rsid w:val="00503EE8"/>
    <w:rsid w:val="00503FF1"/>
    <w:rsid w:val="00507477"/>
    <w:rsid w:val="00527129"/>
    <w:rsid w:val="00534239"/>
    <w:rsid w:val="0053486F"/>
    <w:rsid w:val="00535E45"/>
    <w:rsid w:val="00540156"/>
    <w:rsid w:val="005402E4"/>
    <w:rsid w:val="005529B3"/>
    <w:rsid w:val="00554DC9"/>
    <w:rsid w:val="005624B2"/>
    <w:rsid w:val="00562BBE"/>
    <w:rsid w:val="005640C6"/>
    <w:rsid w:val="005676E5"/>
    <w:rsid w:val="00572CD1"/>
    <w:rsid w:val="00574F23"/>
    <w:rsid w:val="00576752"/>
    <w:rsid w:val="005868D8"/>
    <w:rsid w:val="00587ADF"/>
    <w:rsid w:val="00591299"/>
    <w:rsid w:val="00591489"/>
    <w:rsid w:val="005A5202"/>
    <w:rsid w:val="005A70BD"/>
    <w:rsid w:val="005B1D20"/>
    <w:rsid w:val="005B230C"/>
    <w:rsid w:val="005D0836"/>
    <w:rsid w:val="005D0FE7"/>
    <w:rsid w:val="005D720A"/>
    <w:rsid w:val="005E21A4"/>
    <w:rsid w:val="005E31F9"/>
    <w:rsid w:val="005F3913"/>
    <w:rsid w:val="005F3E2D"/>
    <w:rsid w:val="005F683B"/>
    <w:rsid w:val="005F6D8C"/>
    <w:rsid w:val="00603E0F"/>
    <w:rsid w:val="0060571A"/>
    <w:rsid w:val="006128B8"/>
    <w:rsid w:val="00613750"/>
    <w:rsid w:val="006258E4"/>
    <w:rsid w:val="00630DDB"/>
    <w:rsid w:val="00636FCF"/>
    <w:rsid w:val="006406AE"/>
    <w:rsid w:val="006439D7"/>
    <w:rsid w:val="00645AD4"/>
    <w:rsid w:val="00646A59"/>
    <w:rsid w:val="006478FA"/>
    <w:rsid w:val="0066431A"/>
    <w:rsid w:val="00670E18"/>
    <w:rsid w:val="006726D2"/>
    <w:rsid w:val="00673AA0"/>
    <w:rsid w:val="00680CF5"/>
    <w:rsid w:val="00682B73"/>
    <w:rsid w:val="00682EC2"/>
    <w:rsid w:val="006871AC"/>
    <w:rsid w:val="00692B0C"/>
    <w:rsid w:val="0069526B"/>
    <w:rsid w:val="006958E0"/>
    <w:rsid w:val="0069770B"/>
    <w:rsid w:val="006A01F4"/>
    <w:rsid w:val="006A5345"/>
    <w:rsid w:val="006B0908"/>
    <w:rsid w:val="006C2187"/>
    <w:rsid w:val="006C5BC9"/>
    <w:rsid w:val="006E0689"/>
    <w:rsid w:val="006E2B36"/>
    <w:rsid w:val="006F44CE"/>
    <w:rsid w:val="006F6461"/>
    <w:rsid w:val="00703508"/>
    <w:rsid w:val="0070473B"/>
    <w:rsid w:val="0070512E"/>
    <w:rsid w:val="00705381"/>
    <w:rsid w:val="007056B0"/>
    <w:rsid w:val="00711AA1"/>
    <w:rsid w:val="00714B19"/>
    <w:rsid w:val="00722BDE"/>
    <w:rsid w:val="0073310A"/>
    <w:rsid w:val="00734243"/>
    <w:rsid w:val="00743611"/>
    <w:rsid w:val="00753E90"/>
    <w:rsid w:val="00760E2F"/>
    <w:rsid w:val="00773DEB"/>
    <w:rsid w:val="007741DF"/>
    <w:rsid w:val="00774636"/>
    <w:rsid w:val="00781243"/>
    <w:rsid w:val="0078732B"/>
    <w:rsid w:val="00787DA9"/>
    <w:rsid w:val="00787E0A"/>
    <w:rsid w:val="007914C6"/>
    <w:rsid w:val="007A2CFF"/>
    <w:rsid w:val="007B3313"/>
    <w:rsid w:val="007B663B"/>
    <w:rsid w:val="007C4D01"/>
    <w:rsid w:val="007C5A5C"/>
    <w:rsid w:val="007D4C61"/>
    <w:rsid w:val="007D63D4"/>
    <w:rsid w:val="007E50A6"/>
    <w:rsid w:val="007E6FC5"/>
    <w:rsid w:val="007E7B92"/>
    <w:rsid w:val="007F20AE"/>
    <w:rsid w:val="007F5560"/>
    <w:rsid w:val="00803056"/>
    <w:rsid w:val="00805CF9"/>
    <w:rsid w:val="00810B05"/>
    <w:rsid w:val="00820B48"/>
    <w:rsid w:val="00823735"/>
    <w:rsid w:val="00823FEB"/>
    <w:rsid w:val="008261D1"/>
    <w:rsid w:val="0082646C"/>
    <w:rsid w:val="00830C0D"/>
    <w:rsid w:val="0083534E"/>
    <w:rsid w:val="00840511"/>
    <w:rsid w:val="008416BE"/>
    <w:rsid w:val="008426A8"/>
    <w:rsid w:val="00843316"/>
    <w:rsid w:val="00846E73"/>
    <w:rsid w:val="00854218"/>
    <w:rsid w:val="008606E1"/>
    <w:rsid w:val="00862648"/>
    <w:rsid w:val="00865284"/>
    <w:rsid w:val="00876E5D"/>
    <w:rsid w:val="00885444"/>
    <w:rsid w:val="00885706"/>
    <w:rsid w:val="008869C4"/>
    <w:rsid w:val="00890369"/>
    <w:rsid w:val="00891880"/>
    <w:rsid w:val="00897789"/>
    <w:rsid w:val="008A015E"/>
    <w:rsid w:val="008A06D1"/>
    <w:rsid w:val="008B0CB5"/>
    <w:rsid w:val="008B780C"/>
    <w:rsid w:val="008C074A"/>
    <w:rsid w:val="008C2240"/>
    <w:rsid w:val="008C2CEA"/>
    <w:rsid w:val="008C6778"/>
    <w:rsid w:val="008D2D31"/>
    <w:rsid w:val="008D537D"/>
    <w:rsid w:val="008D7250"/>
    <w:rsid w:val="008E1BD1"/>
    <w:rsid w:val="008F524D"/>
    <w:rsid w:val="008F5647"/>
    <w:rsid w:val="00913444"/>
    <w:rsid w:val="00914BC2"/>
    <w:rsid w:val="00923871"/>
    <w:rsid w:val="00931B93"/>
    <w:rsid w:val="0093251F"/>
    <w:rsid w:val="00933901"/>
    <w:rsid w:val="009360A9"/>
    <w:rsid w:val="00943A19"/>
    <w:rsid w:val="00953102"/>
    <w:rsid w:val="009532B2"/>
    <w:rsid w:val="00955DC1"/>
    <w:rsid w:val="0097351B"/>
    <w:rsid w:val="00974798"/>
    <w:rsid w:val="00983916"/>
    <w:rsid w:val="00984E7D"/>
    <w:rsid w:val="009854E2"/>
    <w:rsid w:val="00986AFA"/>
    <w:rsid w:val="00995FDF"/>
    <w:rsid w:val="009A4204"/>
    <w:rsid w:val="009A6F62"/>
    <w:rsid w:val="009B7DFE"/>
    <w:rsid w:val="009C06B5"/>
    <w:rsid w:val="009C1220"/>
    <w:rsid w:val="009C2C93"/>
    <w:rsid w:val="009C5494"/>
    <w:rsid w:val="009C72BB"/>
    <w:rsid w:val="009F1800"/>
    <w:rsid w:val="009F5920"/>
    <w:rsid w:val="009F7A0D"/>
    <w:rsid w:val="00A07A8E"/>
    <w:rsid w:val="00A07FA6"/>
    <w:rsid w:val="00A13634"/>
    <w:rsid w:val="00A2192D"/>
    <w:rsid w:val="00A221E1"/>
    <w:rsid w:val="00A262B2"/>
    <w:rsid w:val="00A33804"/>
    <w:rsid w:val="00A363ED"/>
    <w:rsid w:val="00A374BC"/>
    <w:rsid w:val="00A40C1F"/>
    <w:rsid w:val="00A47B9C"/>
    <w:rsid w:val="00A50009"/>
    <w:rsid w:val="00A50CAC"/>
    <w:rsid w:val="00A52BFA"/>
    <w:rsid w:val="00A55D18"/>
    <w:rsid w:val="00A576B2"/>
    <w:rsid w:val="00A6077A"/>
    <w:rsid w:val="00A61739"/>
    <w:rsid w:val="00A65310"/>
    <w:rsid w:val="00A66741"/>
    <w:rsid w:val="00A6763D"/>
    <w:rsid w:val="00A74F07"/>
    <w:rsid w:val="00A8200B"/>
    <w:rsid w:val="00A8255E"/>
    <w:rsid w:val="00A85F1E"/>
    <w:rsid w:val="00A87182"/>
    <w:rsid w:val="00A9061A"/>
    <w:rsid w:val="00A919BB"/>
    <w:rsid w:val="00A9206B"/>
    <w:rsid w:val="00A9312C"/>
    <w:rsid w:val="00A93B0A"/>
    <w:rsid w:val="00A9667F"/>
    <w:rsid w:val="00AA11B9"/>
    <w:rsid w:val="00AA2266"/>
    <w:rsid w:val="00AA5EEB"/>
    <w:rsid w:val="00AB17F0"/>
    <w:rsid w:val="00AB2CF3"/>
    <w:rsid w:val="00AB2F59"/>
    <w:rsid w:val="00AB621F"/>
    <w:rsid w:val="00AC0BD3"/>
    <w:rsid w:val="00AC14E6"/>
    <w:rsid w:val="00AC1C30"/>
    <w:rsid w:val="00AC3C64"/>
    <w:rsid w:val="00AC49CB"/>
    <w:rsid w:val="00AC4FAE"/>
    <w:rsid w:val="00AC5F01"/>
    <w:rsid w:val="00AD2B07"/>
    <w:rsid w:val="00AD7061"/>
    <w:rsid w:val="00AE1DA8"/>
    <w:rsid w:val="00AE2294"/>
    <w:rsid w:val="00AE2D90"/>
    <w:rsid w:val="00AE3ACF"/>
    <w:rsid w:val="00AF0F8A"/>
    <w:rsid w:val="00AF405D"/>
    <w:rsid w:val="00B040C4"/>
    <w:rsid w:val="00B0626C"/>
    <w:rsid w:val="00B117B7"/>
    <w:rsid w:val="00B1222D"/>
    <w:rsid w:val="00B1429E"/>
    <w:rsid w:val="00B16DFD"/>
    <w:rsid w:val="00B22967"/>
    <w:rsid w:val="00B23D9C"/>
    <w:rsid w:val="00B33A67"/>
    <w:rsid w:val="00B3418D"/>
    <w:rsid w:val="00B36D0B"/>
    <w:rsid w:val="00B3758D"/>
    <w:rsid w:val="00B452F9"/>
    <w:rsid w:val="00B51285"/>
    <w:rsid w:val="00B531D8"/>
    <w:rsid w:val="00B54298"/>
    <w:rsid w:val="00B603BE"/>
    <w:rsid w:val="00B6080A"/>
    <w:rsid w:val="00B679EC"/>
    <w:rsid w:val="00B76981"/>
    <w:rsid w:val="00B83DCF"/>
    <w:rsid w:val="00B87B02"/>
    <w:rsid w:val="00B97928"/>
    <w:rsid w:val="00BC1CCA"/>
    <w:rsid w:val="00BC2FC0"/>
    <w:rsid w:val="00BC3029"/>
    <w:rsid w:val="00BC532D"/>
    <w:rsid w:val="00BD71BF"/>
    <w:rsid w:val="00BE42AC"/>
    <w:rsid w:val="00BE7281"/>
    <w:rsid w:val="00BF1BBD"/>
    <w:rsid w:val="00C02ED2"/>
    <w:rsid w:val="00C239E1"/>
    <w:rsid w:val="00C30B19"/>
    <w:rsid w:val="00C3181A"/>
    <w:rsid w:val="00C357F7"/>
    <w:rsid w:val="00C43BBD"/>
    <w:rsid w:val="00C45896"/>
    <w:rsid w:val="00C51DA3"/>
    <w:rsid w:val="00C52FB5"/>
    <w:rsid w:val="00C53A1D"/>
    <w:rsid w:val="00C5440E"/>
    <w:rsid w:val="00C547E1"/>
    <w:rsid w:val="00C55278"/>
    <w:rsid w:val="00C60046"/>
    <w:rsid w:val="00C624DC"/>
    <w:rsid w:val="00C63FE5"/>
    <w:rsid w:val="00C642B2"/>
    <w:rsid w:val="00C7009A"/>
    <w:rsid w:val="00C71EF7"/>
    <w:rsid w:val="00C72EA3"/>
    <w:rsid w:val="00C73FAC"/>
    <w:rsid w:val="00C83A4B"/>
    <w:rsid w:val="00C84A64"/>
    <w:rsid w:val="00C949BC"/>
    <w:rsid w:val="00CA03F0"/>
    <w:rsid w:val="00CA0E09"/>
    <w:rsid w:val="00CA269A"/>
    <w:rsid w:val="00CA3F8A"/>
    <w:rsid w:val="00CB7BC6"/>
    <w:rsid w:val="00CC0596"/>
    <w:rsid w:val="00CC423C"/>
    <w:rsid w:val="00CC4BD9"/>
    <w:rsid w:val="00CD13A8"/>
    <w:rsid w:val="00CD1D66"/>
    <w:rsid w:val="00CD5D29"/>
    <w:rsid w:val="00CD6444"/>
    <w:rsid w:val="00CD7DF9"/>
    <w:rsid w:val="00CE7D6F"/>
    <w:rsid w:val="00CF068B"/>
    <w:rsid w:val="00CF394B"/>
    <w:rsid w:val="00CF449C"/>
    <w:rsid w:val="00CF6D90"/>
    <w:rsid w:val="00CF744F"/>
    <w:rsid w:val="00D00E81"/>
    <w:rsid w:val="00D03D21"/>
    <w:rsid w:val="00D03F58"/>
    <w:rsid w:val="00D06536"/>
    <w:rsid w:val="00D100AA"/>
    <w:rsid w:val="00D10748"/>
    <w:rsid w:val="00D142FB"/>
    <w:rsid w:val="00D14752"/>
    <w:rsid w:val="00D16747"/>
    <w:rsid w:val="00D17132"/>
    <w:rsid w:val="00D2128A"/>
    <w:rsid w:val="00D3218B"/>
    <w:rsid w:val="00D32603"/>
    <w:rsid w:val="00D327C6"/>
    <w:rsid w:val="00D33BAA"/>
    <w:rsid w:val="00D37268"/>
    <w:rsid w:val="00D37C8C"/>
    <w:rsid w:val="00D4476F"/>
    <w:rsid w:val="00D55DAB"/>
    <w:rsid w:val="00D55F51"/>
    <w:rsid w:val="00D57EF2"/>
    <w:rsid w:val="00D610E6"/>
    <w:rsid w:val="00D6529A"/>
    <w:rsid w:val="00D65A66"/>
    <w:rsid w:val="00D815A8"/>
    <w:rsid w:val="00D95D67"/>
    <w:rsid w:val="00DA3A79"/>
    <w:rsid w:val="00DA3C7A"/>
    <w:rsid w:val="00DA5550"/>
    <w:rsid w:val="00DB1766"/>
    <w:rsid w:val="00DB201A"/>
    <w:rsid w:val="00DB36AC"/>
    <w:rsid w:val="00DB73E8"/>
    <w:rsid w:val="00DC4218"/>
    <w:rsid w:val="00DD1F3A"/>
    <w:rsid w:val="00DD4909"/>
    <w:rsid w:val="00DD74F7"/>
    <w:rsid w:val="00DF6638"/>
    <w:rsid w:val="00DF74EC"/>
    <w:rsid w:val="00E00DE0"/>
    <w:rsid w:val="00E07B66"/>
    <w:rsid w:val="00E23E4D"/>
    <w:rsid w:val="00E25804"/>
    <w:rsid w:val="00E259F7"/>
    <w:rsid w:val="00E266FC"/>
    <w:rsid w:val="00E30D39"/>
    <w:rsid w:val="00E3338A"/>
    <w:rsid w:val="00E3617B"/>
    <w:rsid w:val="00E366FB"/>
    <w:rsid w:val="00E41A0B"/>
    <w:rsid w:val="00E42B39"/>
    <w:rsid w:val="00E46ACA"/>
    <w:rsid w:val="00E52327"/>
    <w:rsid w:val="00E53183"/>
    <w:rsid w:val="00E564AF"/>
    <w:rsid w:val="00E57DBB"/>
    <w:rsid w:val="00E60254"/>
    <w:rsid w:val="00E63153"/>
    <w:rsid w:val="00E705CD"/>
    <w:rsid w:val="00E7090D"/>
    <w:rsid w:val="00E751A7"/>
    <w:rsid w:val="00E76C13"/>
    <w:rsid w:val="00E77951"/>
    <w:rsid w:val="00E80344"/>
    <w:rsid w:val="00E823BD"/>
    <w:rsid w:val="00E82488"/>
    <w:rsid w:val="00E82879"/>
    <w:rsid w:val="00E86820"/>
    <w:rsid w:val="00E86BBA"/>
    <w:rsid w:val="00E87698"/>
    <w:rsid w:val="00E91938"/>
    <w:rsid w:val="00E95040"/>
    <w:rsid w:val="00E95647"/>
    <w:rsid w:val="00E957D1"/>
    <w:rsid w:val="00E96FED"/>
    <w:rsid w:val="00EA2ED4"/>
    <w:rsid w:val="00EA3463"/>
    <w:rsid w:val="00EA36BE"/>
    <w:rsid w:val="00EA5373"/>
    <w:rsid w:val="00EB171C"/>
    <w:rsid w:val="00EC336A"/>
    <w:rsid w:val="00EC54AD"/>
    <w:rsid w:val="00EC57FE"/>
    <w:rsid w:val="00EC5F8C"/>
    <w:rsid w:val="00ED01ED"/>
    <w:rsid w:val="00ED12B5"/>
    <w:rsid w:val="00ED24DA"/>
    <w:rsid w:val="00ED41B2"/>
    <w:rsid w:val="00ED5A00"/>
    <w:rsid w:val="00EE207F"/>
    <w:rsid w:val="00EF0ABC"/>
    <w:rsid w:val="00EF5329"/>
    <w:rsid w:val="00EF584F"/>
    <w:rsid w:val="00EF675A"/>
    <w:rsid w:val="00F01FF6"/>
    <w:rsid w:val="00F02ABC"/>
    <w:rsid w:val="00F03869"/>
    <w:rsid w:val="00F05139"/>
    <w:rsid w:val="00F05C3B"/>
    <w:rsid w:val="00F05CA3"/>
    <w:rsid w:val="00F100E3"/>
    <w:rsid w:val="00F10A5E"/>
    <w:rsid w:val="00F11476"/>
    <w:rsid w:val="00F12F11"/>
    <w:rsid w:val="00F261EB"/>
    <w:rsid w:val="00F32CE0"/>
    <w:rsid w:val="00F35AB0"/>
    <w:rsid w:val="00F40119"/>
    <w:rsid w:val="00F632C6"/>
    <w:rsid w:val="00F71427"/>
    <w:rsid w:val="00F74035"/>
    <w:rsid w:val="00F74E9E"/>
    <w:rsid w:val="00F74FC2"/>
    <w:rsid w:val="00F829DE"/>
    <w:rsid w:val="00F86C7F"/>
    <w:rsid w:val="00F94FFC"/>
    <w:rsid w:val="00F95652"/>
    <w:rsid w:val="00FB7EAB"/>
    <w:rsid w:val="00FC763C"/>
    <w:rsid w:val="00FD0416"/>
    <w:rsid w:val="00FD2EB6"/>
    <w:rsid w:val="00FD61CA"/>
    <w:rsid w:val="00FE6CA5"/>
    <w:rsid w:val="00FF11B5"/>
    <w:rsid w:val="00FF6AD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39" w:unhideWhenUsed="0"/>
    <w:lsdException w:name="toc 5" w:semiHidden="0" w:uiPriority="0" w:unhideWhenUsed="0"/>
    <w:lsdException w:name="toc 6" w:semiHidden="0" w:uiPriority="39"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semiHidden="0" w:uiPriority="1"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nhideWhenUsed="0"/>
    <w:lsdException w:name="Table Grid" w:semiHidden="0" w:uiPriority="59"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E41A0B"/>
    <w:pPr>
      <w:spacing w:after="200" w:line="276" w:lineRule="auto"/>
    </w:pPr>
    <w:rPr>
      <w:rFonts w:ascii="Segoe UI" w:eastAsia="Calibri" w:hAnsi="Segoe UI"/>
      <w:color w:val="595959"/>
      <w:szCs w:val="22"/>
      <w:lang w:val="en-US" w:eastAsia="en-US" w:bidi="ar-SA"/>
    </w:rPr>
  </w:style>
  <w:style w:type="paragraph" w:styleId="Heading1">
    <w:name w:val="heading 1"/>
    <w:next w:val="Normal"/>
    <w:link w:val="Ttulo1Car"/>
    <w:uiPriority w:val="9"/>
    <w:qFormat/>
    <w:rsid w:val="00E41A0B"/>
    <w:pPr>
      <w:autoSpaceDE w:val="0"/>
      <w:autoSpaceDN w:val="0"/>
      <w:adjustRightInd w:val="0"/>
      <w:spacing w:after="80"/>
      <w:outlineLvl w:val="0"/>
    </w:pPr>
    <w:rPr>
      <w:rFonts w:ascii="Neo Sans Std" w:hAnsi="Neo Sans Std" w:cs="Arial"/>
      <w:color w:val="1A2A44"/>
      <w:sz w:val="44"/>
      <w:szCs w:val="44"/>
      <w:lang w:val="en-US" w:eastAsia="en-US" w:bidi="ar-SA"/>
    </w:rPr>
  </w:style>
  <w:style w:type="paragraph" w:styleId="Heading2">
    <w:name w:val="heading 2"/>
    <w:basedOn w:val="Normal"/>
    <w:next w:val="Normal"/>
    <w:link w:val="Ttulo2Car"/>
    <w:uiPriority w:val="9"/>
    <w:qFormat/>
    <w:rsid w:val="00E41A0B"/>
    <w:pPr>
      <w:autoSpaceDE w:val="0"/>
      <w:autoSpaceDN w:val="0"/>
      <w:adjustRightInd w:val="0"/>
      <w:spacing w:line="240" w:lineRule="auto"/>
      <w:outlineLvl w:val="1"/>
    </w:pPr>
    <w:rPr>
      <w:rFonts w:ascii="Neo Sans Std" w:eastAsia="Times New Roman" w:hAnsi="Neo Sans Std" w:cs="Arial"/>
      <w:color w:val="2E5E88"/>
      <w:sz w:val="34"/>
      <w:szCs w:val="32"/>
    </w:rPr>
  </w:style>
  <w:style w:type="paragraph" w:styleId="Heading3">
    <w:name w:val="heading 3"/>
    <w:basedOn w:val="Normal"/>
    <w:next w:val="Normal"/>
    <w:link w:val="Ttulo3Car"/>
    <w:uiPriority w:val="9"/>
    <w:qFormat/>
    <w:rsid w:val="00E41A0B"/>
    <w:pPr>
      <w:keepNext/>
      <w:spacing w:before="240" w:after="240" w:line="260" w:lineRule="exact"/>
      <w:outlineLvl w:val="2"/>
    </w:pPr>
    <w:rPr>
      <w:rFonts w:ascii="Neo Sans Std" w:eastAsia="Times New Roman" w:hAnsi="Neo Sans Std" w:cs="Arial"/>
      <w:bCs/>
      <w:color w:val="548DD4"/>
      <w:sz w:val="26"/>
      <w:szCs w:val="26"/>
    </w:rPr>
  </w:style>
  <w:style w:type="paragraph" w:styleId="Heading4">
    <w:name w:val="heading 4"/>
    <w:next w:val="Normal"/>
    <w:link w:val="Ttulo4Car"/>
    <w:uiPriority w:val="9"/>
    <w:unhideWhenUsed/>
    <w:qFormat/>
    <w:rsid w:val="00E41A0B"/>
    <w:pPr>
      <w:keepLines/>
      <w:spacing w:before="200" w:after="200"/>
      <w:outlineLvl w:val="3"/>
    </w:pPr>
    <w:rPr>
      <w:rFonts w:ascii="Aller" w:hAnsi="Aller"/>
      <w:iCs/>
      <w:color w:val="7F7F7F"/>
      <w:sz w:val="24"/>
      <w:szCs w:val="26"/>
      <w:lang w:val="en-US" w:eastAsia="en-US" w:bidi="ar-SA"/>
    </w:rPr>
  </w:style>
  <w:style w:type="paragraph" w:styleId="Heading5">
    <w:name w:val="heading 5"/>
    <w:next w:val="Normal"/>
    <w:link w:val="Ttulo5Car"/>
    <w:uiPriority w:val="9"/>
    <w:unhideWhenUsed/>
    <w:qFormat/>
    <w:rsid w:val="00E41A0B"/>
    <w:pPr>
      <w:keepLines/>
      <w:spacing w:before="200" w:after="200"/>
      <w:outlineLvl w:val="4"/>
    </w:pPr>
    <w:rPr>
      <w:rFonts w:ascii="Aller Light" w:hAnsi="Aller Light"/>
      <w:bCs/>
      <w:color w:val="808080"/>
      <w:sz w:val="24"/>
      <w:szCs w:val="26"/>
      <w:lang w:val="en-US" w:eastAsia="en-US" w:bidi="ar-SA"/>
    </w:rPr>
  </w:style>
  <w:style w:type="paragraph" w:styleId="Heading6">
    <w:name w:val="heading 6"/>
    <w:next w:val="Normal"/>
    <w:link w:val="Ttulo6Car"/>
    <w:uiPriority w:val="9"/>
    <w:unhideWhenUsed/>
    <w:qFormat/>
    <w:rsid w:val="00E41A0B"/>
    <w:pPr>
      <w:keepLines/>
      <w:numPr>
        <w:ilvl w:val="5"/>
        <w:numId w:val="4"/>
      </w:numPr>
      <w:spacing w:before="200" w:after="200"/>
      <w:outlineLvl w:val="5"/>
    </w:pPr>
    <w:rPr>
      <w:rFonts w:ascii="Aller Light" w:hAnsi="Aller Light"/>
      <w:bCs/>
      <w:i/>
      <w:iCs/>
      <w:color w:val="808080"/>
      <w:sz w:val="22"/>
      <w:szCs w:val="26"/>
      <w:lang w:val="en-US" w:eastAsia="en-US" w:bidi="ar-SA"/>
    </w:rPr>
  </w:style>
  <w:style w:type="paragraph" w:styleId="Heading7">
    <w:name w:val="heading 7"/>
    <w:basedOn w:val="Normal"/>
    <w:next w:val="Normal"/>
    <w:qFormat/>
    <w:rsid w:val="00885706"/>
    <w:pPr>
      <w:spacing w:before="240" w:after="60"/>
      <w:outlineLvl w:val="6"/>
    </w:pPr>
    <w:rPr>
      <w:rFonts w:ascii="Times New Roman" w:hAnsi="Times New Roman"/>
      <w:sz w:val="24"/>
      <w:szCs w:val="24"/>
    </w:rPr>
  </w:style>
  <w:style w:type="paragraph" w:styleId="Heading8">
    <w:name w:val="heading 8"/>
    <w:basedOn w:val="Normal"/>
    <w:next w:val="Normal"/>
    <w:qFormat/>
    <w:rsid w:val="00885706"/>
    <w:pPr>
      <w:spacing w:before="240" w:after="60"/>
      <w:outlineLvl w:val="7"/>
    </w:pPr>
    <w:rPr>
      <w:rFonts w:ascii="Times New Roman" w:hAnsi="Times New Roman"/>
      <w:i/>
      <w:iCs/>
      <w:sz w:val="24"/>
      <w:szCs w:val="24"/>
    </w:rPr>
  </w:style>
  <w:style w:type="paragraph" w:styleId="Heading9">
    <w:name w:val="heading 9"/>
    <w:basedOn w:val="Normal"/>
    <w:next w:val="Normal"/>
    <w:qFormat/>
    <w:rsid w:val="00885706"/>
    <w:pPr>
      <w:spacing w:before="240" w:after="60"/>
      <w:outlineLvl w:val="8"/>
    </w:pPr>
    <w:rPr>
      <w:rFonts w:ascii="Arial" w:hAnsi="Arial" w:cs="Arial"/>
      <w:sz w:val="22"/>
      <w:szCs w:val="22"/>
    </w:rPr>
  </w:style>
  <w:style w:type="character" w:default="1" w:styleId="DefaultParagraphFont">
    <w:name w:val="Default Paragraph Font"/>
    <w:uiPriority w:val="1"/>
    <w:unhideWhenUsed/>
    <w:rsid w:val="00E41A0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E41A0B"/>
  </w:style>
  <w:style w:type="character" w:customStyle="1" w:styleId="Ttulo1Car">
    <w:name w:val="Título 1 Car"/>
    <w:link w:val="Heading1"/>
    <w:uiPriority w:val="9"/>
    <w:rsid w:val="00E41A0B"/>
    <w:rPr>
      <w:rFonts w:ascii="Neo Sans Std" w:hAnsi="Neo Sans Std" w:cs="Arial"/>
      <w:color w:val="1A2A44"/>
      <w:sz w:val="44"/>
      <w:szCs w:val="44"/>
      <w:lang w:val="en-US" w:eastAsia="en-US" w:bidi="ar-SA"/>
    </w:rPr>
  </w:style>
  <w:style w:type="paragraph" w:styleId="TOC1">
    <w:name w:val="toc 1"/>
    <w:basedOn w:val="ModelerNormal"/>
    <w:next w:val="ModelerNormal"/>
    <w:autoRedefine/>
    <w:rsid w:val="00E41A0B"/>
    <w:pPr>
      <w:spacing w:before="120" w:after="0" w:line="240" w:lineRule="auto"/>
    </w:pPr>
    <w:rPr>
      <w:rFonts w:eastAsia="Times New Roman"/>
      <w:caps/>
      <w:color w:val="auto"/>
      <w:szCs w:val="20"/>
      <w:lang w:val="es-ES_tradnl" w:eastAsia="es-ES"/>
    </w:rPr>
  </w:style>
  <w:style w:type="paragraph" w:styleId="TOC2">
    <w:name w:val="toc 2"/>
    <w:basedOn w:val="ModelerNormal"/>
    <w:next w:val="ModelerNormal"/>
    <w:autoRedefine/>
    <w:rsid w:val="00E41A0B"/>
    <w:pPr>
      <w:tabs>
        <w:tab w:val="right" w:leader="dot" w:pos="8828"/>
      </w:tabs>
      <w:spacing w:after="0" w:line="240" w:lineRule="auto"/>
      <w:ind w:left="198"/>
      <w:jc w:val="both"/>
    </w:pPr>
    <w:rPr>
      <w:rFonts w:eastAsia="Times New Roman"/>
      <w:smallCaps/>
      <w:color w:val="auto"/>
      <w:szCs w:val="20"/>
      <w:lang w:eastAsia="es-ES"/>
    </w:rPr>
  </w:style>
  <w:style w:type="paragraph" w:styleId="TOC3">
    <w:name w:val="toc 3"/>
    <w:basedOn w:val="ModelerNormal"/>
    <w:next w:val="ModelerNormal"/>
    <w:autoRedefine/>
    <w:rsid w:val="00E41A0B"/>
    <w:pPr>
      <w:tabs>
        <w:tab w:val="left" w:pos="1321"/>
        <w:tab w:val="right" w:leader="dot" w:pos="8828"/>
      </w:tabs>
      <w:spacing w:after="0" w:line="240" w:lineRule="auto"/>
      <w:ind w:left="403"/>
      <w:jc w:val="both"/>
    </w:pPr>
    <w:rPr>
      <w:rFonts w:eastAsia="Times New Roman"/>
      <w:noProof/>
      <w:color w:val="000000"/>
      <w:szCs w:val="20"/>
      <w:lang w:val="es-ES" w:eastAsia="es-ES"/>
    </w:rPr>
  </w:style>
  <w:style w:type="character" w:styleId="Hyperlink">
    <w:name w:val="Hyperlink"/>
    <w:uiPriority w:val="99"/>
    <w:unhideWhenUsed/>
    <w:rsid w:val="00E41A0B"/>
    <w:rPr>
      <w:rFonts w:ascii="Segoe UI" w:hAnsi="Segoe UI"/>
      <w:color w:val="0000FF"/>
      <w:u w:val="single"/>
    </w:rPr>
  </w:style>
  <w:style w:type="paragraph" w:styleId="Header">
    <w:name w:val="header"/>
    <w:basedOn w:val="Normal"/>
    <w:link w:val="EncabezadoCar"/>
    <w:unhideWhenUsed/>
    <w:rsid w:val="00E41A0B"/>
    <w:pPr>
      <w:tabs>
        <w:tab w:val="center" w:pos="4419"/>
        <w:tab w:val="right" w:pos="8838"/>
      </w:tabs>
      <w:spacing w:after="0" w:line="240" w:lineRule="auto"/>
    </w:pPr>
  </w:style>
  <w:style w:type="paragraph" w:styleId="Footer">
    <w:name w:val="footer"/>
    <w:basedOn w:val="Normal"/>
    <w:link w:val="PiedepginaCar"/>
    <w:uiPriority w:val="99"/>
    <w:unhideWhenUsed/>
    <w:rsid w:val="00E41A0B"/>
    <w:pPr>
      <w:tabs>
        <w:tab w:val="center" w:pos="4419"/>
        <w:tab w:val="right" w:pos="8838"/>
      </w:tabs>
      <w:spacing w:after="0" w:line="240" w:lineRule="auto"/>
    </w:pPr>
  </w:style>
  <w:style w:type="character" w:styleId="PageNumber">
    <w:name w:val="page number"/>
    <w:basedOn w:val="DefaultParagraphFont"/>
    <w:rsid w:val="00A55D18"/>
  </w:style>
  <w:style w:type="paragraph" w:customStyle="1" w:styleId="Titular">
    <w:name w:val="Titular"/>
    <w:basedOn w:val="Heading1"/>
    <w:link w:val="TitularChar"/>
    <w:semiHidden/>
    <w:rsid w:val="00A55D18"/>
    <w:rPr>
      <w:color w:val="333333"/>
    </w:rPr>
  </w:style>
  <w:style w:type="character" w:customStyle="1" w:styleId="TitularChar">
    <w:name w:val="Titular Char"/>
    <w:link w:val="Titular"/>
    <w:semiHidden/>
    <w:rsid w:val="00A55D18"/>
    <w:rPr>
      <w:rFonts w:ascii="Neo Sans Std" w:hAnsi="Neo Sans Std" w:cs="Arial"/>
      <w:color w:val="333333"/>
      <w:sz w:val="44"/>
      <w:szCs w:val="44"/>
      <w:lang w:val="en-US" w:eastAsia="en-US" w:bidi="ar-SA"/>
    </w:rPr>
  </w:style>
  <w:style w:type="paragraph" w:styleId="BodyText">
    <w:name w:val="Body Text"/>
    <w:basedOn w:val="Normal"/>
    <w:link w:val="TextoindependienteCar"/>
    <w:rsid w:val="00E41A0B"/>
    <w:pPr>
      <w:spacing w:line="240" w:lineRule="auto"/>
      <w:ind w:left="634"/>
    </w:pPr>
    <w:rPr>
      <w:rFonts w:eastAsia="Times New Roman"/>
      <w:szCs w:val="20"/>
    </w:rPr>
  </w:style>
  <w:style w:type="table" w:styleId="TableGrid">
    <w:name w:val="Table Grid"/>
    <w:basedOn w:val="TableNormal"/>
    <w:uiPriority w:val="59"/>
    <w:rsid w:val="00E41A0B"/>
    <w:rPr>
      <w:rFonts w:ascii="Century Gothic" w:hAnsi="Century Gothic"/>
    </w:rPr>
    <w:tblPr>
      <w:tblInd w:w="10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cPr>
      <w:shd w:val="clear" w:color="auto" w:fill="auto"/>
    </w:tcPr>
  </w:style>
  <w:style w:type="paragraph" w:styleId="FootnoteText">
    <w:name w:val="footnote text"/>
    <w:basedOn w:val="Normal"/>
    <w:semiHidden/>
    <w:rsid w:val="00AE3ACF"/>
  </w:style>
  <w:style w:type="character" w:styleId="FootnoteReference">
    <w:name w:val="footnote reference"/>
    <w:semiHidden/>
    <w:rsid w:val="00AE3ACF"/>
    <w:rPr>
      <w:vertAlign w:val="superscript"/>
    </w:rPr>
  </w:style>
  <w:style w:type="paragraph" w:customStyle="1" w:styleId="StyleTitularBold">
    <w:name w:val="Style Titular + Bold"/>
    <w:basedOn w:val="Titular"/>
    <w:autoRedefine/>
    <w:rsid w:val="008C2CEA"/>
    <w:rPr>
      <w:b/>
      <w:bCs/>
      <w:iCs/>
      <w:szCs w:val="40"/>
    </w:rPr>
  </w:style>
  <w:style w:type="paragraph" w:customStyle="1" w:styleId="Aviso">
    <w:name w:val="Aviso"/>
    <w:basedOn w:val="Normal"/>
    <w:autoRedefine/>
    <w:rsid w:val="0033264A"/>
    <w:pPr>
      <w:spacing w:before="0"/>
      <w:jc w:val="left"/>
    </w:pPr>
    <w:rPr>
      <w:b/>
      <w:sz w:val="15"/>
      <w:szCs w:val="15"/>
      <w:lang w:val="es-ES_tradnl"/>
    </w:rPr>
  </w:style>
  <w:style w:type="paragraph" w:customStyle="1" w:styleId="TitularInicio">
    <w:name w:val="TitularInicio"/>
    <w:basedOn w:val="StyleTitularBold"/>
    <w:autoRedefine/>
    <w:rsid w:val="002732D9"/>
    <w:pPr>
      <w:numPr>
        <w:ilvl w:val="0"/>
        <w:numId w:val="0"/>
      </w:numPr>
    </w:pPr>
  </w:style>
  <w:style w:type="numbering" w:customStyle="1" w:styleId="Lista1">
    <w:name w:val="Lista1"/>
    <w:basedOn w:val="NoList"/>
    <w:rsid w:val="007741DF"/>
    <w:pPr>
      <w:numPr>
        <w:numId w:val="1"/>
      </w:numPr>
    </w:pPr>
  </w:style>
  <w:style w:type="paragraph" w:customStyle="1" w:styleId="Normal4">
    <w:name w:val="Normal4"/>
    <w:basedOn w:val="Normal"/>
    <w:rsid w:val="00820B48"/>
    <w:pPr>
      <w:ind w:left="504"/>
    </w:pPr>
    <w:rPr>
      <w:lang w:val="es-ES_tradnl"/>
    </w:rPr>
  </w:style>
  <w:style w:type="paragraph" w:styleId="TOC5">
    <w:name w:val="toc 5"/>
    <w:basedOn w:val="ModelerNormal"/>
    <w:next w:val="ModelerNormal"/>
    <w:autoRedefine/>
    <w:rsid w:val="00E41A0B"/>
    <w:pPr>
      <w:spacing w:before="120" w:after="0" w:line="240" w:lineRule="auto"/>
      <w:ind w:left="800"/>
      <w:jc w:val="both"/>
    </w:pPr>
    <w:rPr>
      <w:rFonts w:eastAsia="Times New Roman"/>
      <w:color w:val="auto"/>
      <w:szCs w:val="20"/>
      <w:lang w:eastAsia="es-ES"/>
    </w:rPr>
  </w:style>
  <w:style w:type="paragraph" w:customStyle="1" w:styleId="Normal5">
    <w:name w:val="Normal5"/>
    <w:basedOn w:val="Normal"/>
    <w:rsid w:val="000774A1"/>
    <w:pPr>
      <w:ind w:left="1440"/>
    </w:pPr>
  </w:style>
  <w:style w:type="paragraph" w:customStyle="1" w:styleId="bizNormal">
    <w:name w:val="bizNormal"/>
    <w:basedOn w:val="ModelerNormal"/>
    <w:next w:val="ModelerNormal"/>
    <w:qFormat/>
    <w:rsid w:val="00E41A0B"/>
  </w:style>
  <w:style w:type="paragraph" w:customStyle="1" w:styleId="bizHeading1">
    <w:name w:val="bizHeading1"/>
    <w:basedOn w:val="Heading1"/>
    <w:next w:val="ModelerNormal"/>
    <w:qFormat/>
    <w:rsid w:val="004C30E2"/>
    <w:pPr>
      <w:keepNext/>
      <w:keepLines/>
      <w:numPr>
        <w:ilvl w:val="0"/>
        <w:numId w:val="4"/>
      </w:numPr>
      <w:tabs>
        <w:tab w:val="clear" w:pos="936"/>
      </w:tabs>
      <w:autoSpaceDE/>
      <w:autoSpaceDN/>
      <w:adjustRightInd/>
      <w:spacing w:before="400" w:after="0" w:line="269" w:lineRule="auto"/>
      <w:ind w:left="0" w:firstLine="0"/>
    </w:pPr>
    <w:rPr>
      <w:rFonts w:ascii="Segoe UI Semibold" w:eastAsia="Times New Roman" w:hAnsi="Segoe UI Semibold" w:cs="Times New Roman"/>
      <w:color w:val="30646E"/>
      <w:sz w:val="36"/>
      <w:szCs w:val="32"/>
      <w:lang w:val="en-AU"/>
    </w:rPr>
  </w:style>
  <w:style w:type="paragraph" w:customStyle="1" w:styleId="bizHeading2">
    <w:name w:val="bizHeading2"/>
    <w:basedOn w:val="Heading2"/>
    <w:next w:val="ModelerNormal"/>
    <w:qFormat/>
    <w:rsid w:val="004C30E2"/>
    <w:pPr>
      <w:keepNext/>
      <w:keepLines/>
      <w:numPr>
        <w:ilvl w:val="1"/>
        <w:numId w:val="4"/>
      </w:numPr>
      <w:tabs>
        <w:tab w:val="clear" w:pos="1080"/>
      </w:tabs>
      <w:autoSpaceDE/>
      <w:autoSpaceDN/>
      <w:adjustRightInd/>
      <w:spacing w:before="40" w:after="0" w:line="269" w:lineRule="auto"/>
      <w:ind w:left="0" w:firstLine="0"/>
    </w:pPr>
    <w:rPr>
      <w:rFonts w:ascii="Segoe UI Semibold" w:eastAsia="Times New Roman" w:hAnsi="Segoe UI Semibold" w:cs="Times New Roman"/>
      <w:color w:val="009485"/>
      <w:sz w:val="32"/>
      <w:szCs w:val="26"/>
      <w:lang w:val="en-AU"/>
    </w:rPr>
  </w:style>
  <w:style w:type="paragraph" w:customStyle="1" w:styleId="bizHeading3">
    <w:name w:val="bizHeading3"/>
    <w:basedOn w:val="Heading3"/>
    <w:next w:val="ModelerNormal"/>
    <w:qFormat/>
    <w:rsid w:val="004C30E2"/>
    <w:pPr>
      <w:keepLines/>
      <w:numPr>
        <w:ilvl w:val="2"/>
        <w:numId w:val="4"/>
      </w:numPr>
      <w:tabs>
        <w:tab w:val="clear" w:pos="1224"/>
      </w:tabs>
      <w:spacing w:before="40" w:after="0" w:line="269" w:lineRule="auto"/>
      <w:ind w:left="0" w:firstLine="0"/>
    </w:pPr>
    <w:rPr>
      <w:rFonts w:ascii="Segoe UI Semibold" w:eastAsia="Times New Roman" w:hAnsi="Segoe UI Semibold" w:cs="Times New Roman"/>
      <w:bCs w:val="0"/>
      <w:color w:val="212D34"/>
      <w:sz w:val="28"/>
      <w:szCs w:val="28"/>
      <w:lang w:val="en-AU"/>
    </w:rPr>
  </w:style>
  <w:style w:type="paragraph" w:customStyle="1" w:styleId="bizHeading4">
    <w:name w:val="bizHeading4"/>
    <w:basedOn w:val="Heading4"/>
    <w:next w:val="ModelerNormal"/>
    <w:qFormat/>
    <w:rsid w:val="004C30E2"/>
    <w:pPr>
      <w:keepNext/>
      <w:numPr>
        <w:ilvl w:val="3"/>
        <w:numId w:val="4"/>
      </w:numPr>
      <w:tabs>
        <w:tab w:val="clear" w:pos="1368"/>
      </w:tabs>
      <w:spacing w:before="40" w:after="0" w:line="269" w:lineRule="auto"/>
      <w:ind w:left="0" w:firstLine="0"/>
    </w:pPr>
    <w:rPr>
      <w:rFonts w:ascii="Segoe UI Semibold" w:eastAsia="Times New Roman" w:hAnsi="Segoe UI Semibold" w:cs="Times New Roman"/>
      <w:i/>
      <w:color w:val="006E63"/>
      <w:sz w:val="28"/>
      <w:szCs w:val="24"/>
      <w:lang w:val="en-AU"/>
    </w:rPr>
  </w:style>
  <w:style w:type="paragraph" w:customStyle="1" w:styleId="bizHeading5">
    <w:name w:val="bizHeading5"/>
    <w:basedOn w:val="Heading5"/>
    <w:next w:val="ModelerNormal"/>
    <w:qFormat/>
    <w:rsid w:val="004C30E2"/>
    <w:pPr>
      <w:keepNext/>
      <w:numPr>
        <w:ilvl w:val="4"/>
        <w:numId w:val="4"/>
      </w:numPr>
      <w:tabs>
        <w:tab w:val="clear" w:pos="1512"/>
      </w:tabs>
      <w:spacing w:before="40" w:after="0" w:line="269" w:lineRule="auto"/>
      <w:ind w:left="0" w:firstLine="0"/>
    </w:pPr>
    <w:rPr>
      <w:rFonts w:ascii="Segoe UI Semibold" w:eastAsia="Times New Roman" w:hAnsi="Segoe UI Semibold" w:cs="Times New Roman"/>
      <w:bCs w:val="0"/>
      <w:color w:val="5F6E7C"/>
      <w:sz w:val="26"/>
      <w:szCs w:val="20"/>
      <w:lang w:val="en-AU"/>
    </w:rPr>
  </w:style>
  <w:style w:type="paragraph" w:styleId="BalloonText">
    <w:name w:val="Balloon Text"/>
    <w:basedOn w:val="Normal"/>
    <w:link w:val="TextodegloboCar"/>
    <w:uiPriority w:val="99"/>
    <w:unhideWhenUsed/>
    <w:rsid w:val="00E41A0B"/>
    <w:pPr>
      <w:spacing w:after="0" w:line="240" w:lineRule="auto"/>
    </w:pPr>
    <w:rPr>
      <w:rFonts w:ascii="Tahoma" w:hAnsi="Tahoma" w:cs="Tahoma"/>
      <w:sz w:val="16"/>
      <w:szCs w:val="16"/>
    </w:rPr>
  </w:style>
  <w:style w:type="character" w:customStyle="1" w:styleId="TextodegloboCar">
    <w:name w:val="Texto de globo Car"/>
    <w:link w:val="BalloonText"/>
    <w:uiPriority w:val="99"/>
    <w:rsid w:val="00E41A0B"/>
    <w:rPr>
      <w:rFonts w:ascii="Tahoma" w:eastAsia="Calibri" w:hAnsi="Tahoma" w:cs="Tahoma"/>
      <w:color w:val="595959"/>
      <w:sz w:val="16"/>
      <w:szCs w:val="16"/>
      <w:lang w:val="en-US" w:eastAsia="en-US" w:bidi="ar-SA"/>
    </w:rPr>
  </w:style>
  <w:style w:type="paragraph" w:customStyle="1" w:styleId="ModelerNormal">
    <w:name w:val="ModelerNormal"/>
    <w:basedOn w:val="Normal"/>
    <w:link w:val="ModelerNormalChar"/>
    <w:qFormat/>
    <w:rsid w:val="00E41A0B"/>
  </w:style>
  <w:style w:type="paragraph" w:customStyle="1" w:styleId="bizHeadingBAS3">
    <w:name w:val="bizHeadingBAS3"/>
    <w:basedOn w:val="bizHeading3"/>
    <w:next w:val="Normal"/>
    <w:rsid w:val="00F11476"/>
    <w:pPr>
      <w:pBdr>
        <w:top w:val="none" w:sz="0" w:space="0" w:color="auto"/>
      </w:pBdr>
    </w:pPr>
    <w:rPr>
      <w:caps/>
      <w:sz w:val="20"/>
    </w:rPr>
  </w:style>
  <w:style w:type="paragraph" w:customStyle="1" w:styleId="bizHeadingBAS2">
    <w:name w:val="bizHeadingBAS2"/>
    <w:basedOn w:val="bizHeading2"/>
    <w:next w:val="Normal"/>
    <w:rsid w:val="00BF1BBD"/>
    <w:rPr>
      <w:sz w:val="24"/>
    </w:rPr>
  </w:style>
  <w:style w:type="paragraph" w:customStyle="1" w:styleId="bizHeadingBAS1">
    <w:name w:val="bizHeadingBAS1"/>
    <w:basedOn w:val="bizHeading1"/>
    <w:next w:val="Normal"/>
    <w:qFormat/>
    <w:rsid w:val="004F1444"/>
    <w:pPr>
      <w:numPr>
        <w:ilvl w:val="0"/>
        <w:numId w:val="2"/>
      </w:numPr>
    </w:pPr>
  </w:style>
  <w:style w:type="character" w:customStyle="1" w:styleId="EncabezadoCar">
    <w:name w:val="Encabezado Car"/>
    <w:link w:val="Header"/>
    <w:rsid w:val="00E41A0B"/>
    <w:rPr>
      <w:rFonts w:ascii="Segoe UI" w:eastAsia="Calibri" w:hAnsi="Segoe UI"/>
      <w:color w:val="595959"/>
      <w:szCs w:val="22"/>
      <w:lang w:val="en-US" w:eastAsia="en-US" w:bidi="ar-SA"/>
    </w:rPr>
  </w:style>
  <w:style w:type="character" w:customStyle="1" w:styleId="Ttulo2Car">
    <w:name w:val="Título 2 Car"/>
    <w:link w:val="Heading2"/>
    <w:uiPriority w:val="9"/>
    <w:rsid w:val="00E41A0B"/>
    <w:rPr>
      <w:rFonts w:ascii="Neo Sans Std" w:hAnsi="Neo Sans Std" w:cs="Arial"/>
      <w:color w:val="2E5E88"/>
      <w:sz w:val="34"/>
      <w:szCs w:val="32"/>
      <w:lang w:val="en-US" w:eastAsia="en-US" w:bidi="ar-SA"/>
    </w:rPr>
  </w:style>
  <w:style w:type="character" w:customStyle="1" w:styleId="TextoindependienteCar">
    <w:name w:val="Texto independiente Car"/>
    <w:link w:val="BodyText"/>
    <w:rsid w:val="00E41A0B"/>
    <w:rPr>
      <w:rFonts w:ascii="Segoe UI" w:hAnsi="Segoe UI"/>
      <w:color w:val="595959"/>
      <w:lang w:val="en-US" w:eastAsia="en-US" w:bidi="ar-SA"/>
    </w:rPr>
  </w:style>
  <w:style w:type="paragraph" w:customStyle="1" w:styleId="bizHeadingBAS11">
    <w:name w:val="bizHeadingBAS1_1"/>
    <w:basedOn w:val="bizHeadingBAS1"/>
    <w:next w:val="Normal"/>
    <w:qFormat/>
    <w:rsid w:val="004F1444"/>
    <w:pPr>
      <w:numPr>
        <w:ilvl w:val="0"/>
        <w:numId w:val="0"/>
      </w:numPr>
    </w:pPr>
  </w:style>
  <w:style w:type="character" w:customStyle="1" w:styleId="Ttulo3Car">
    <w:name w:val="Título 3 Car"/>
    <w:link w:val="Heading3"/>
    <w:uiPriority w:val="9"/>
    <w:rsid w:val="00E41A0B"/>
    <w:rPr>
      <w:rFonts w:ascii="Neo Sans Std" w:hAnsi="Neo Sans Std" w:cs="Arial"/>
      <w:bCs/>
      <w:color w:val="548DD4"/>
      <w:sz w:val="26"/>
      <w:szCs w:val="26"/>
      <w:lang w:val="en-US" w:eastAsia="en-US" w:bidi="ar-SA"/>
    </w:rPr>
  </w:style>
  <w:style w:type="character" w:customStyle="1" w:styleId="Ttulo4Car">
    <w:name w:val="Título 4 Car"/>
    <w:link w:val="Heading4"/>
    <w:uiPriority w:val="9"/>
    <w:rsid w:val="00E41A0B"/>
    <w:rPr>
      <w:rFonts w:ascii="Aller" w:hAnsi="Aller"/>
      <w:iCs/>
      <w:color w:val="7F7F7F"/>
      <w:sz w:val="24"/>
      <w:szCs w:val="26"/>
      <w:lang w:val="en-US" w:eastAsia="en-US" w:bidi="ar-SA"/>
    </w:rPr>
  </w:style>
  <w:style w:type="character" w:customStyle="1" w:styleId="Ttulo5Car">
    <w:name w:val="Título 5 Car"/>
    <w:link w:val="Heading5"/>
    <w:uiPriority w:val="9"/>
    <w:rsid w:val="00E41A0B"/>
    <w:rPr>
      <w:rFonts w:ascii="Aller Light" w:hAnsi="Aller Light"/>
      <w:bCs/>
      <w:color w:val="808080"/>
      <w:sz w:val="24"/>
      <w:szCs w:val="26"/>
      <w:lang w:val="en-US" w:eastAsia="en-US" w:bidi="ar-SA"/>
    </w:rPr>
  </w:style>
  <w:style w:type="paragraph" w:customStyle="1" w:styleId="Confidential">
    <w:name w:val="Confidential"/>
    <w:basedOn w:val="Normal"/>
    <w:qFormat/>
    <w:rsid w:val="00E41A0B"/>
    <w:pPr>
      <w:spacing w:after="0" w:line="240" w:lineRule="auto"/>
    </w:pPr>
    <w:rPr>
      <w:rFonts w:eastAsia="Times New Roman"/>
      <w:i/>
      <w:color w:val="808080"/>
      <w:szCs w:val="20"/>
    </w:rPr>
  </w:style>
  <w:style w:type="character" w:styleId="Emphasis">
    <w:name w:val="Emphasis"/>
    <w:qFormat/>
    <w:rsid w:val="00E41A0B"/>
    <w:rPr>
      <w:rFonts w:ascii="Segoe UI" w:hAnsi="Segoe UI"/>
      <w:b/>
      <w:i/>
      <w:iCs/>
      <w:color w:val="404040"/>
    </w:rPr>
  </w:style>
  <w:style w:type="character" w:customStyle="1" w:styleId="PiedepginaCar">
    <w:name w:val="Pie de página Car"/>
    <w:link w:val="Footer"/>
    <w:uiPriority w:val="99"/>
    <w:rsid w:val="00E41A0B"/>
    <w:rPr>
      <w:rFonts w:ascii="Segoe UI" w:eastAsia="Calibri" w:hAnsi="Segoe UI"/>
      <w:color w:val="595959"/>
      <w:szCs w:val="22"/>
      <w:lang w:val="en-US" w:eastAsia="en-US" w:bidi="ar-SA"/>
    </w:rPr>
  </w:style>
  <w:style w:type="paragraph" w:customStyle="1" w:styleId="frontpage">
    <w:name w:val="front page"/>
    <w:basedOn w:val="Normal"/>
    <w:qFormat/>
    <w:rsid w:val="00E41A0B"/>
    <w:pPr>
      <w:spacing w:after="0" w:line="240" w:lineRule="auto"/>
      <w:ind w:left="634"/>
    </w:pPr>
    <w:rPr>
      <w:rFonts w:eastAsia="Times New Roman"/>
      <w:noProof/>
      <w:szCs w:val="20"/>
    </w:rPr>
  </w:style>
  <w:style w:type="character" w:customStyle="1" w:styleId="Ttulo6Car">
    <w:name w:val="Título 6 Car"/>
    <w:link w:val="Heading6"/>
    <w:uiPriority w:val="9"/>
    <w:rsid w:val="00E41A0B"/>
    <w:rPr>
      <w:rFonts w:ascii="Aller Light" w:hAnsi="Aller Light"/>
      <w:bCs/>
      <w:i/>
      <w:iCs/>
      <w:color w:val="808080"/>
      <w:sz w:val="22"/>
      <w:szCs w:val="26"/>
      <w:lang w:val="en-US" w:eastAsia="en-US" w:bidi="ar-SA"/>
    </w:rPr>
  </w:style>
  <w:style w:type="paragraph" w:customStyle="1" w:styleId="heading40">
    <w:name w:val="heading4"/>
    <w:basedOn w:val="Heading3"/>
    <w:rsid w:val="00E41A0B"/>
    <w:pPr>
      <w:numPr>
        <w:ilvl w:val="0"/>
        <w:numId w:val="0"/>
      </w:numPr>
      <w:spacing w:after="0" w:line="240" w:lineRule="auto"/>
    </w:pPr>
    <w:rPr>
      <w:color w:val="404040"/>
      <w:szCs w:val="34"/>
    </w:rPr>
  </w:style>
  <w:style w:type="paragraph" w:customStyle="1" w:styleId="images">
    <w:name w:val="images"/>
    <w:basedOn w:val="Normal"/>
    <w:qFormat/>
    <w:rsid w:val="00E41A0B"/>
    <w:pPr>
      <w:spacing w:after="0"/>
    </w:pPr>
    <w:rPr>
      <w:noProof/>
    </w:rPr>
  </w:style>
  <w:style w:type="paragraph" w:styleId="ListBullet">
    <w:name w:val="List Bullet"/>
    <w:basedOn w:val="Normal"/>
    <w:rsid w:val="00E41A0B"/>
    <w:pPr>
      <w:numPr>
        <w:ilvl w:val="0"/>
        <w:numId w:val="3"/>
      </w:numPr>
      <w:spacing w:after="240" w:line="260" w:lineRule="exact"/>
    </w:pPr>
    <w:rPr>
      <w:rFonts w:eastAsia="Times New Roman"/>
      <w:szCs w:val="20"/>
    </w:rPr>
  </w:style>
  <w:style w:type="paragraph" w:styleId="NoSpacing">
    <w:name w:val="No Spacing"/>
    <w:link w:val="SinespaciadoCar"/>
    <w:uiPriority w:val="1"/>
    <w:qFormat/>
    <w:rsid w:val="00E41A0B"/>
    <w:rPr>
      <w:rFonts w:ascii="Calibri" w:hAnsi="Calibri"/>
      <w:sz w:val="22"/>
      <w:szCs w:val="22"/>
      <w:lang w:val="en-US" w:eastAsia="en-US" w:bidi="ar-SA"/>
    </w:rPr>
  </w:style>
  <w:style w:type="character" w:customStyle="1" w:styleId="SinespaciadoCar">
    <w:name w:val="Sin espaciado Car"/>
    <w:link w:val="NoSpacing"/>
    <w:uiPriority w:val="1"/>
    <w:rsid w:val="00E41A0B"/>
    <w:rPr>
      <w:rFonts w:ascii="Calibri" w:hAnsi="Calibri"/>
      <w:sz w:val="22"/>
      <w:szCs w:val="22"/>
      <w:lang w:val="en-US" w:eastAsia="en-US" w:bidi="ar-SA"/>
    </w:rPr>
  </w:style>
  <w:style w:type="paragraph" w:customStyle="1" w:styleId="notes">
    <w:name w:val="notes"/>
    <w:basedOn w:val="heading40"/>
    <w:qFormat/>
    <w:rsid w:val="00E41A0B"/>
    <w:pPr>
      <w:outlineLvl w:val="9"/>
    </w:pPr>
    <w:rPr>
      <w:rFonts w:ascii="Segoe UI" w:hAnsi="Segoe UI"/>
      <w:sz w:val="20"/>
      <w:lang w:eastAsia="es-CO"/>
    </w:rPr>
  </w:style>
  <w:style w:type="paragraph" w:customStyle="1" w:styleId="Notestitle">
    <w:name w:val="Notes title"/>
    <w:basedOn w:val="notes"/>
    <w:qFormat/>
    <w:rsid w:val="00E41A0B"/>
  </w:style>
  <w:style w:type="paragraph" w:customStyle="1" w:styleId="TableText">
    <w:name w:val="Table Text"/>
    <w:rsid w:val="00E41A0B"/>
    <w:pPr>
      <w:spacing w:before="100"/>
    </w:pPr>
    <w:rPr>
      <w:rFonts w:ascii="Segoe UI" w:hAnsi="Segoe UI"/>
      <w:color w:val="595959"/>
      <w:sz w:val="16"/>
      <w:lang w:val="en-US" w:eastAsia="en-US" w:bidi="ar-SA"/>
    </w:rPr>
  </w:style>
  <w:style w:type="paragraph" w:customStyle="1" w:styleId="Total">
    <w:name w:val="Total"/>
    <w:basedOn w:val="TableText"/>
    <w:rsid w:val="00E41A0B"/>
    <w:pPr>
      <w:jc w:val="right"/>
    </w:pPr>
    <w:rPr>
      <w:b/>
      <w:bCs/>
    </w:rPr>
  </w:style>
  <w:style w:type="paragraph" w:customStyle="1" w:styleId="PageNumber1">
    <w:name w:val="Page Number1"/>
    <w:basedOn w:val="Total"/>
    <w:qFormat/>
    <w:rsid w:val="00E41A0B"/>
    <w:pPr>
      <w:spacing w:before="40"/>
      <w:jc w:val="left"/>
    </w:pPr>
  </w:style>
  <w:style w:type="paragraph" w:customStyle="1" w:styleId="StyleHeading1NotBold">
    <w:name w:val="Style Heading 1 + Not Bold"/>
    <w:basedOn w:val="Heading1"/>
    <w:rsid w:val="00E41A0B"/>
    <w:pPr>
      <w:numPr>
        <w:ilvl w:val="0"/>
        <w:numId w:val="0"/>
      </w:numPr>
    </w:pPr>
    <w:rPr>
      <w:b/>
    </w:rPr>
  </w:style>
  <w:style w:type="paragraph" w:customStyle="1" w:styleId="StyleProjectNameAllerLightRight">
    <w:name w:val="Style Project Name + Aller Light Right"/>
    <w:basedOn w:val="Normal"/>
    <w:rsid w:val="00E41A0B"/>
    <w:pPr>
      <w:spacing w:before="100" w:after="0" w:line="240" w:lineRule="auto"/>
      <w:jc w:val="right"/>
    </w:pPr>
    <w:rPr>
      <w:rFonts w:ascii="Aller Light" w:eastAsia="Times New Roman" w:hAnsi="Aller Light"/>
      <w:color w:val="808080"/>
      <w:sz w:val="44"/>
      <w:szCs w:val="20"/>
    </w:rPr>
  </w:style>
  <w:style w:type="paragraph" w:customStyle="1" w:styleId="StyleStyleProjectNameAllerLightRightAller40ptText1">
    <w:name w:val="Style Style Project Name + Aller Light Right + Aller 40 pt Text 1"/>
    <w:basedOn w:val="StyleProjectNameAllerLightRight"/>
    <w:rsid w:val="00E41A0B"/>
    <w:rPr>
      <w:rFonts w:ascii="Neo Sans Std" w:hAnsi="Neo Sans Std"/>
      <w:color w:val="595959"/>
      <w:sz w:val="80"/>
    </w:rPr>
  </w:style>
  <w:style w:type="paragraph" w:customStyle="1" w:styleId="StyleStyleProjectNameAllerLightRightAller40ptText11">
    <w:name w:val="Style Style Project Name + Aller Light Right + Aller 40 pt Text 11"/>
    <w:basedOn w:val="StyleProjectNameAllerLightRight"/>
    <w:rsid w:val="00E41A0B"/>
    <w:rPr>
      <w:rFonts w:ascii="Neo Sans Std" w:hAnsi="Neo Sans Std"/>
      <w:color w:val="2E5E88"/>
      <w:sz w:val="40"/>
    </w:rPr>
  </w:style>
  <w:style w:type="paragraph" w:customStyle="1" w:styleId="StyleStyleProposalAllerText1TopNoborderRight">
    <w:name w:val="Style Style Proposal + Aller Text 1 Top: (No border) + Right"/>
    <w:basedOn w:val="Normal"/>
    <w:rsid w:val="00E41A0B"/>
    <w:pPr>
      <w:spacing w:after="0" w:line="240" w:lineRule="auto"/>
      <w:jc w:val="right"/>
    </w:pPr>
    <w:rPr>
      <w:rFonts w:eastAsia="Times New Roman"/>
      <w:sz w:val="76"/>
      <w:szCs w:val="20"/>
    </w:rPr>
  </w:style>
  <w:style w:type="paragraph" w:customStyle="1" w:styleId="textoheader">
    <w:name w:val="texto header"/>
    <w:basedOn w:val="Normal"/>
    <w:qFormat/>
    <w:rsid w:val="00E41A0B"/>
    <w:pPr>
      <w:pBdr>
        <w:left w:val="single" w:sz="4" w:space="4" w:color="595959"/>
      </w:pBdr>
      <w:tabs>
        <w:tab w:val="left" w:pos="1620"/>
      </w:tabs>
      <w:spacing w:after="0" w:line="240" w:lineRule="auto"/>
      <w:jc w:val="right"/>
    </w:pPr>
    <w:rPr>
      <w:rFonts w:ascii="Neo Sans Std" w:hAnsi="Neo Sans Std"/>
      <w:color w:val="808080"/>
      <w:sz w:val="26"/>
      <w:szCs w:val="26"/>
    </w:rPr>
  </w:style>
  <w:style w:type="paragraph" w:customStyle="1" w:styleId="Titulotabla">
    <w:name w:val="Titulo tabla"/>
    <w:qFormat/>
    <w:rsid w:val="00E41A0B"/>
    <w:pPr>
      <w:tabs>
        <w:tab w:val="left" w:pos="1620"/>
      </w:tabs>
      <w:spacing w:before="40"/>
    </w:pPr>
    <w:rPr>
      <w:rFonts w:ascii="Segoe UI" w:eastAsia="Calibri" w:hAnsi="Segoe UI"/>
      <w:color w:val="595959"/>
      <w:sz w:val="22"/>
      <w:szCs w:val="28"/>
      <w:lang w:val="es-CO" w:eastAsia="en-US" w:bidi="ar-SA"/>
    </w:rPr>
  </w:style>
  <w:style w:type="paragraph" w:styleId="TOAHeading">
    <w:name w:val="toa heading"/>
    <w:basedOn w:val="Normal"/>
    <w:next w:val="Normal"/>
    <w:uiPriority w:val="99"/>
    <w:unhideWhenUsed/>
    <w:rsid w:val="00E41A0B"/>
    <w:pPr>
      <w:spacing w:before="120"/>
    </w:pPr>
    <w:rPr>
      <w:rFonts w:ascii="Neo Sans Std" w:eastAsia="Times New Roman" w:hAnsi="Neo Sans Std"/>
      <w:bCs/>
      <w:color w:val="1A2A44"/>
      <w:sz w:val="30"/>
      <w:szCs w:val="24"/>
    </w:rPr>
  </w:style>
  <w:style w:type="paragraph" w:styleId="TOC4">
    <w:name w:val="toc 4"/>
    <w:basedOn w:val="ModelerNormal"/>
    <w:next w:val="ModelerNormal"/>
    <w:autoRedefine/>
    <w:uiPriority w:val="39"/>
    <w:unhideWhenUsed/>
    <w:rsid w:val="00E41A0B"/>
    <w:pPr>
      <w:tabs>
        <w:tab w:val="left" w:pos="1542"/>
        <w:tab w:val="right" w:leader="dot" w:pos="8828"/>
      </w:tabs>
      <w:spacing w:before="120" w:after="0"/>
      <w:ind w:left="601"/>
      <w:jc w:val="both"/>
    </w:pPr>
  </w:style>
  <w:style w:type="paragraph" w:styleId="TOC6">
    <w:name w:val="toc 6"/>
    <w:basedOn w:val="TOC3"/>
    <w:next w:val="Normal"/>
    <w:autoRedefine/>
    <w:uiPriority w:val="39"/>
    <w:unhideWhenUsed/>
    <w:rsid w:val="00E41A0B"/>
    <w:pPr>
      <w:spacing w:after="100"/>
      <w:ind w:left="2268"/>
    </w:pPr>
  </w:style>
  <w:style w:type="paragraph" w:customStyle="1" w:styleId="website">
    <w:name w:val="website"/>
    <w:basedOn w:val="Footer"/>
    <w:qFormat/>
    <w:rsid w:val="00E41A0B"/>
    <w:pPr>
      <w:tabs>
        <w:tab w:val="clear" w:pos="4419"/>
        <w:tab w:val="center" w:pos="4680"/>
        <w:tab w:val="clear" w:pos="8838"/>
        <w:tab w:val="right" w:pos="9360"/>
      </w:tabs>
      <w:spacing w:after="200" w:line="260" w:lineRule="exact"/>
      <w:ind w:left="630"/>
      <w:jc w:val="right"/>
    </w:pPr>
    <w:rPr>
      <w:rFonts w:eastAsia="Times New Roman"/>
      <w:noProof/>
      <w:szCs w:val="20"/>
    </w:rPr>
  </w:style>
  <w:style w:type="numbering" w:customStyle="1" w:styleId="Headings">
    <w:name w:val="Headings"/>
    <w:uiPriority w:val="99"/>
    <w:rsid w:val="007E50A6"/>
    <w:pPr>
      <w:numPr>
        <w:numId w:val="5"/>
      </w:numPr>
    </w:pPr>
  </w:style>
  <w:style w:type="paragraph" w:customStyle="1" w:styleId="bizTitle">
    <w:name w:val="bizTitle"/>
    <w:basedOn w:val="Normal"/>
    <w:next w:val="Title"/>
    <w:link w:val="bizTitleChar"/>
    <w:qFormat/>
    <w:rsid w:val="00C55278"/>
    <w:pPr>
      <w:spacing w:before="240" w:after="60" w:line="240" w:lineRule="auto"/>
      <w:jc w:val="right"/>
      <w:outlineLvl w:val="0"/>
    </w:pPr>
    <w:rPr>
      <w:rFonts w:ascii="Segoe UI Semilight" w:eastAsia="Times New Roman" w:hAnsi="Segoe UI Semilight" w:cs="Vrinda"/>
      <w:bCs/>
      <w:color w:val="212D34"/>
      <w:kern w:val="28"/>
      <w:sz w:val="96"/>
      <w:szCs w:val="32"/>
    </w:rPr>
  </w:style>
  <w:style w:type="paragraph" w:customStyle="1" w:styleId="bizSubtitle">
    <w:name w:val="bizSubtitle"/>
    <w:basedOn w:val="Subtitle"/>
    <w:next w:val="Subtitle"/>
    <w:link w:val="bizSubtitleChar"/>
    <w:qFormat/>
    <w:rsid w:val="00C55278"/>
    <w:pPr>
      <w:jc w:val="right"/>
    </w:pPr>
    <w:rPr>
      <w:rFonts w:ascii="Segoe UI Semilight" w:hAnsi="Segoe UI Semilight"/>
      <w:color w:val="30646E"/>
      <w:sz w:val="64"/>
    </w:rPr>
  </w:style>
  <w:style w:type="character" w:customStyle="1" w:styleId="ModelerNormalChar">
    <w:name w:val="ModelerNormal Char"/>
    <w:link w:val="ModelerNormal"/>
    <w:rsid w:val="00DA5550"/>
    <w:rPr>
      <w:rFonts w:ascii="Segoe UI" w:eastAsia="Calibri" w:hAnsi="Segoe UI"/>
      <w:color w:val="595959"/>
      <w:szCs w:val="22"/>
      <w:lang w:val="en-US" w:eastAsia="en-US" w:bidi="ar-SA"/>
    </w:rPr>
  </w:style>
  <w:style w:type="character" w:customStyle="1" w:styleId="bizTitleChar">
    <w:name w:val="bizTitle Char"/>
    <w:link w:val="bizTitle"/>
    <w:rsid w:val="00C55278"/>
    <w:rPr>
      <w:rFonts w:ascii="Segoe UI Semilight" w:hAnsi="Segoe UI Semilight" w:cs="Vrinda"/>
      <w:bCs/>
      <w:color w:val="212D34"/>
      <w:kern w:val="28"/>
      <w:sz w:val="96"/>
      <w:szCs w:val="32"/>
      <w:lang w:val="en-US" w:eastAsia="en-US"/>
    </w:rPr>
  </w:style>
  <w:style w:type="paragraph" w:styleId="Title">
    <w:name w:val="Title"/>
    <w:basedOn w:val="Normal"/>
    <w:next w:val="Normal"/>
    <w:link w:val="TtuloCar"/>
    <w:uiPriority w:val="10"/>
    <w:qFormat/>
    <w:rsid w:val="00DA5550"/>
    <w:pPr>
      <w:spacing w:before="240" w:after="60"/>
      <w:jc w:val="center"/>
      <w:outlineLvl w:val="0"/>
    </w:pPr>
    <w:rPr>
      <w:rFonts w:ascii="Cambria" w:eastAsia="Times New Roman" w:hAnsi="Cambria" w:cs="Vrinda"/>
      <w:b/>
      <w:bCs/>
      <w:kern w:val="28"/>
      <w:sz w:val="32"/>
      <w:szCs w:val="32"/>
    </w:rPr>
  </w:style>
  <w:style w:type="character" w:customStyle="1" w:styleId="TtuloCar">
    <w:name w:val="Título Car"/>
    <w:link w:val="Title"/>
    <w:uiPriority w:val="10"/>
    <w:rsid w:val="00DA5550"/>
    <w:rPr>
      <w:rFonts w:ascii="Cambria" w:eastAsia="Times New Roman" w:hAnsi="Cambria" w:cs="Vrinda"/>
      <w:b/>
      <w:bCs/>
      <w:color w:val="595959"/>
      <w:kern w:val="28"/>
      <w:sz w:val="32"/>
      <w:szCs w:val="32"/>
      <w:lang w:val="en-US" w:eastAsia="en-US" w:bidi="ar-SA"/>
    </w:rPr>
  </w:style>
  <w:style w:type="paragraph" w:customStyle="1" w:styleId="BoldModelerNormal">
    <w:name w:val="BoldModelerNormal"/>
    <w:basedOn w:val="ModelerNormal"/>
    <w:next w:val="ModelerNormal"/>
    <w:qFormat/>
    <w:rsid w:val="00032CAE"/>
    <w:rPr>
      <w:b/>
    </w:rPr>
  </w:style>
  <w:style w:type="paragraph" w:styleId="Subtitle">
    <w:name w:val="Subtitle"/>
    <w:basedOn w:val="Normal"/>
    <w:next w:val="Normal"/>
    <w:link w:val="SubttuloCar"/>
    <w:uiPriority w:val="11"/>
    <w:qFormat/>
    <w:rsid w:val="001E5639"/>
    <w:pPr>
      <w:spacing w:after="60"/>
      <w:jc w:val="center"/>
      <w:outlineLvl w:val="1"/>
    </w:pPr>
    <w:rPr>
      <w:rFonts w:ascii="Cambria" w:eastAsia="Times New Roman" w:hAnsi="Cambria" w:cs="Vrinda"/>
      <w:sz w:val="24"/>
      <w:szCs w:val="24"/>
    </w:rPr>
  </w:style>
  <w:style w:type="character" w:customStyle="1" w:styleId="SubttuloCar">
    <w:name w:val="Subtítulo Car"/>
    <w:link w:val="Subtitle"/>
    <w:uiPriority w:val="11"/>
    <w:rsid w:val="001E5639"/>
    <w:rPr>
      <w:rFonts w:ascii="Cambria" w:eastAsia="Times New Roman" w:hAnsi="Cambria" w:cs="Vrinda"/>
      <w:color w:val="595959"/>
      <w:sz w:val="24"/>
      <w:szCs w:val="24"/>
      <w:lang w:val="en-US" w:eastAsia="en-US" w:bidi="ar-SA"/>
    </w:rPr>
  </w:style>
  <w:style w:type="character" w:customStyle="1" w:styleId="bizSubtitleChar">
    <w:name w:val="bizSubtitle Char"/>
    <w:link w:val="bizSubtitle"/>
    <w:rsid w:val="00C55278"/>
    <w:rPr>
      <w:rFonts w:ascii="Segoe UI Semilight" w:hAnsi="Segoe UI Semilight" w:cs="Vrinda"/>
      <w:color w:val="30646E"/>
      <w:sz w:val="64"/>
      <w:szCs w:val="24"/>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png" /><Relationship Id="rId11" Type="http://schemas.openxmlformats.org/officeDocument/2006/relationships/image" Target="media/image4.png" /><Relationship Id="rId12" Type="http://schemas.openxmlformats.org/officeDocument/2006/relationships/image" Target="media/image5.png" /><Relationship Id="rId13" Type="http://schemas.openxmlformats.org/officeDocument/2006/relationships/image" Target="media/image6.png" /><Relationship Id="rId14" Type="http://schemas.openxmlformats.org/officeDocument/2006/relationships/header" Target="header2.xml" /><Relationship Id="rId15" Type="http://schemas.openxmlformats.org/officeDocument/2006/relationships/header" Target="header3.xml" /><Relationship Id="rId16" Type="http://schemas.openxmlformats.org/officeDocument/2006/relationships/footer" Target="footer4.xml" /><Relationship Id="rId17" Type="http://schemas.openxmlformats.org/officeDocument/2006/relationships/header" Target="header4.xml" /><Relationship Id="rId18" Type="http://schemas.openxmlformats.org/officeDocument/2006/relationships/image" Target="media/image9.emf"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footer" Target="footer3.xml" /></Relationships>
</file>

<file path=word/_rels/footer2.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footer3.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3.xml.rels>&#65279;<?xml version="1.0" encoding="utf-8" standalone="yes"?><Relationships xmlns="http://schemas.openxmlformats.org/package/2006/relationships"><Relationship Id="rId1" Type="http://schemas.openxmlformats.org/officeDocument/2006/relationships/image" Target="media/image1.png" /></Relationships>
</file>

<file path=word/_rels/header4.xml.rels>&#65279;<?xml version="1.0" encoding="utf-8" standalone="yes"?><Relationships xmlns="http://schemas.openxmlformats.org/package/2006/relationships"><Relationship Id="rId1" Type="http://schemas.openxmlformats.org/officeDocument/2006/relationships/image" Target="media/image7.png" /><Relationship Id="rId2" Type="http://schemas.openxmlformats.org/officeDocument/2006/relationships/image" Target="media/image8.png"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customXml/itemProps2.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17</Pages>
  <Words>0</Words>
  <Characters>1</Characters>
  <Application>Microsoft Office Word</Application>
  <DocSecurity>0</DocSecurity>
  <Lines>1</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03598064225</dc:creator>
  <cp:lastModifiedBy>03598064225</cp:lastModifiedBy>
  <cp:revision>1</cp:revision>
  <dcterms:created xsi:type="dcterms:W3CDTF">2014-03-13T20:06:00Z</dcterms:created>
  <dcterms:modified xsi:type="dcterms:W3CDTF">2021-06-30T16:18:00Z</dcterms:modified>
</cp:coreProperties>
</file>