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3 -->
  <w:body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oldModelerNormal"/>
      </w:pPr>
    </w:p>
    <w:p w:rsidR="00B603BE" w:rsidRPr="00275F9A" w:rsidP="00032CAE">
      <w:pPr>
        <w:pStyle w:val="bizTitle"/>
        <w:jc w:val="right"/>
      </w:pPr>
      <w:bookmarkStart w:id="0" w:name="_Toc256000000"/>
      <w:r w:rsidRPr="00275F9A">
        <w:t>Redesenhos dos fluxos de tratamento e distribuição da bolsas de hemocomponentes (ciclo do sangue) 2.0</w:t>
      </w:r>
      <w:bookmarkEnd w:id="0"/>
    </w:p>
    <w:p w:rsidR="00B603BE" w:rsidRPr="00275F9A" w:rsidP="00032CAE">
      <w:pPr>
        <w:pStyle w:val="bizSubtitle"/>
        <w:jc w:val="right"/>
      </w:pPr>
      <w:bookmarkStart w:id="1" w:name="_Toc256000001"/>
      <w:r w:rsidRPr="00275F9A">
        <w:t>Bizagi Modeler</w:t>
      </w:r>
      <w:bookmarkEnd w:id="1"/>
    </w:p>
    <w:p w:rsidR="00B603BE" w:rsidRPr="00275F9A">
      <w:pPr>
        <w:sectPr w:rsidSect="00503EE8">
          <w:headerReference w:type="default" r:id="rId6"/>
          <w:footerReference w:type="even" r:id="rId7"/>
          <w:footerReference w:type="default" r:id="rId8"/>
          <w:footerReference w:type="first" r:id="rId9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</w:p>
    <w:p w:rsidR="00AE3ACF" w:rsidRPr="008D2D31" w:rsidP="00854218">
      <w:pPr>
        <w:jc w:val="center"/>
      </w:pPr>
      <w:r w:rsidRPr="008D2D31">
        <w:t>Índice</w:t>
      </w:r>
      <w:r w:rsidRPr="008D2D31">
        <w:fldChar w:fldCharType="begin"/>
      </w:r>
      <w:r w:rsidRPr="008D2D31">
        <w:instrText>TOC \o "1-4" \h \z \u</w:instrText>
      </w:r>
      <w:r w:rsidRPr="008D2D31">
        <w:fldChar w:fldCharType="separate"/>
      </w:r>
    </w:p>
    <w:p>
      <w:pPr>
        <w:pStyle w:val="TOC1"/>
        <w:tabs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0" w:history="1">
        <w:r w:rsidRPr="00275F9A" w:rsidR="00B603BE">
          <w:rPr>
            <w:rStyle w:val="Hyperlink"/>
          </w:rPr>
          <w:t>Redesenhos dos fluxos de tratamento e distribuição da bolsas de hemocomponentes (ciclo do sangue) 2.0</w:t>
        </w:r>
        <w:r>
          <w:tab/>
        </w:r>
        <w:r>
          <w:fldChar w:fldCharType="begin"/>
        </w:r>
        <w:r>
          <w:instrText xml:space="preserve"> PAGEREF _Toc256000000 \h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rPr>
          <w:rFonts w:ascii="Calibri" w:hAnsi="Calibri"/>
          <w:noProof/>
          <w:sz w:val="22"/>
        </w:rPr>
      </w:pPr>
      <w:hyperlink w:anchor="_Toc256000001" w:history="1">
        <w:r w:rsidRPr="00275F9A" w:rsidR="00B603BE">
          <w:rPr>
            <w:rStyle w:val="Hyperlink"/>
          </w:rPr>
          <w:t>Bizagi Modeler</w:t>
        </w:r>
        <w:r>
          <w:tab/>
        </w:r>
        <w:r>
          <w:fldChar w:fldCharType="begin"/>
        </w:r>
        <w:r>
          <w:instrText xml:space="preserve"> PAGEREF _Toc256000001 \h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1"/>
        <w:tabs>
          <w:tab w:val="left" w:pos="403"/>
          <w:tab w:val="right" w:leader="dot" w:pos="8828"/>
        </w:tabs>
        <w:rPr>
          <w:rFonts w:ascii="Calibri" w:hAnsi="Calibri"/>
          <w:noProof/>
          <w:sz w:val="22"/>
        </w:rPr>
      </w:pPr>
      <w:hyperlink w:anchor="_Toc256000002" w:history="1">
        <w:r>
          <w:rPr>
            <w:rStyle w:val="Hyperlink"/>
          </w:rPr>
          <w:t>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TO BE - Retrovigilância (Receptor - Doador)</w:t>
        </w:r>
        <w:r>
          <w:tab/>
        </w:r>
        <w:r>
          <w:fldChar w:fldCharType="begin"/>
        </w:r>
        <w:r>
          <w:instrText xml:space="preserve"> PAGEREF _Toc256000002 \h </w:instrText>
        </w:r>
        <w:r>
          <w:fldChar w:fldCharType="separate"/>
        </w:r>
        <w:r>
          <w:t>4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3" w:history="1">
        <w:r>
          <w:rPr>
            <w:rStyle w:val="Hyperlink"/>
          </w:rPr>
          <w:t>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Hospital/Clínica</w:t>
        </w:r>
        <w:r>
          <w:tab/>
        </w:r>
        <w:r>
          <w:fldChar w:fldCharType="begin"/>
        </w:r>
        <w:r>
          <w:instrText xml:space="preserve"> PAGEREF _Toc256000003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4" w:history="1">
        <w:r>
          <w:rPr>
            <w:rStyle w:val="Hyperlink"/>
          </w:rPr>
          <w:t>1.1.1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_Toc256000004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5" w:history="1">
        <w:r>
          <w:rPr>
            <w:rStyle w:val="Hyperlink"/>
          </w:rPr>
          <w:t>1.1.1.1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380749804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0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Necessidade de informar Retrovigilância</w:t>
        </w:r>
        <w:r>
          <w:tab/>
        </w:r>
        <w:r>
          <w:fldChar w:fldCharType="begin"/>
        </w:r>
        <w:r>
          <w:instrText xml:space="preserve"> PAGEREF _Toc256000005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6" w:history="1">
        <w:r>
          <w:rPr>
            <w:rStyle w:val="Hyperlink"/>
          </w:rPr>
          <w:t>1.1.1.2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1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512673823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Notificar Retrovigilância sobre receptor</w:t>
        </w:r>
        <w:r>
          <w:tab/>
        </w:r>
        <w:r>
          <w:fldChar w:fldCharType="begin"/>
        </w:r>
        <w:r>
          <w:instrText xml:space="preserve"> PAGEREF _Toc256000006 \h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07" w:history="1">
        <w:r>
          <w:rPr>
            <w:rStyle w:val="Hyperlink"/>
          </w:rPr>
          <w:t>1.1.1.3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2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8275768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2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Receber resultado</w:t>
        </w:r>
        <w:r>
          <w:tab/>
        </w:r>
        <w:r>
          <w:fldChar w:fldCharType="begin"/>
        </w:r>
        <w:r>
          <w:instrText xml:space="preserve"> PAGEREF _Toc256000007 \h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left" w:pos="800"/>
        </w:tabs>
        <w:rPr>
          <w:rFonts w:ascii="Calibri" w:hAnsi="Calibri"/>
          <w:noProof/>
          <w:sz w:val="22"/>
        </w:rPr>
      </w:pPr>
      <w:hyperlink w:anchor="_Toc256000008" w:history="1">
        <w:r>
          <w:rPr>
            <w:rStyle w:val="Hyperlink"/>
          </w:rPr>
          <w:t>1.2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RETROVIGILÂNCIA (RECEPTOR - DOADOR- TO BE</w:t>
        </w:r>
        <w:r>
          <w:tab/>
        </w:r>
        <w:r>
          <w:fldChar w:fldCharType="begin"/>
        </w:r>
        <w:r>
          <w:instrText xml:space="preserve"> PAGEREF _Toc256000008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3"/>
        <w:rPr>
          <w:rFonts w:ascii="Calibri" w:hAnsi="Calibri"/>
          <w:noProof/>
          <w:sz w:val="22"/>
        </w:rPr>
      </w:pPr>
      <w:hyperlink w:anchor="_Toc256000009" w:history="1">
        <w:r>
          <w:rPr>
            <w:rStyle w:val="Hyperlink"/>
          </w:rPr>
          <w:t>1.2.1</w:t>
        </w:r>
        <w:r>
          <w:rPr>
            <w:rFonts w:ascii="Calibri" w:hAnsi="Calibri"/>
            <w:noProof/>
            <w:sz w:val="22"/>
          </w:rPr>
          <w:tab/>
        </w:r>
        <w:r>
          <w:rPr>
            <w:rStyle w:val="Hyperlink"/>
          </w:rPr>
          <w:t>Elementos do processo</w:t>
        </w:r>
        <w:r>
          <w:tab/>
        </w:r>
        <w:r>
          <w:fldChar w:fldCharType="begin"/>
        </w:r>
        <w:r>
          <w:instrText xml:space="preserve"> PAGEREF _Toc256000009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0" w:history="1">
        <w:r>
          <w:rPr>
            <w:rStyle w:val="Hyperlink"/>
          </w:rPr>
          <w:t>1.2.1.1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3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754018888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1. Dar o aceite em notificação recebida</w:t>
        </w:r>
        <w:r>
          <w:tab/>
        </w:r>
        <w:r>
          <w:fldChar w:fldCharType="begin"/>
        </w:r>
        <w:r>
          <w:instrText xml:space="preserve"> PAGEREF _Toc256000010 \h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1" w:history="1">
        <w:r>
          <w:rPr>
            <w:rStyle w:val="Hyperlink"/>
          </w:rPr>
          <w:t>1.2.1.2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4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635244311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2. Consultar histórico de doações</w:t>
        </w:r>
        <w:r>
          <w:tab/>
        </w:r>
        <w:r>
          <w:fldChar w:fldCharType="begin"/>
        </w:r>
        <w:r>
          <w:instrText xml:space="preserve"> PAGEREF _Toc256000011 \h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2" w:history="1">
        <w:r>
          <w:rPr>
            <w:rStyle w:val="Hyperlink"/>
          </w:rPr>
          <w:t>1.2.1.3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6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73235857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Notificar o Serviço Social</w:t>
        </w:r>
        <w:r>
          <w:tab/>
        </w:r>
        <w:r>
          <w:fldChar w:fldCharType="begin"/>
        </w:r>
        <w:r>
          <w:instrText xml:space="preserve"> PAGEREF _Toc256000012 \h </w:instrText>
        </w:r>
        <w:r>
          <w:fldChar w:fldCharType="separate"/>
        </w:r>
        <w:r>
          <w:t>13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3" w:history="1">
        <w:r>
          <w:rPr>
            <w:rStyle w:val="Hyperlink"/>
          </w:rPr>
          <w:t>1.2.1.4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7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61821830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4. Dar o aceite de notificação recebida</w:t>
        </w:r>
        <w:r>
          <w:tab/>
        </w:r>
        <w:r>
          <w:fldChar w:fldCharType="begin"/>
        </w:r>
        <w:r>
          <w:instrText xml:space="preserve"> PAGEREF _Toc256000013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4" w:history="1">
        <w:r>
          <w:rPr>
            <w:rStyle w:val="Hyperlink"/>
          </w:rPr>
          <w:t>1.2.1.5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8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82537019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3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Notificar Hospital/Clínica</w:t>
        </w:r>
        <w:r>
          <w:tab/>
        </w:r>
        <w:r>
          <w:fldChar w:fldCharType="begin"/>
        </w:r>
        <w:r>
          <w:instrText xml:space="preserve"> PAGEREF _Toc256000014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5" w:history="1">
        <w:r>
          <w:rPr>
            <w:rStyle w:val="Hyperlink"/>
          </w:rPr>
          <w:t>1.2.1.6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19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47952438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4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Notificar Hospital/Clínica</w:t>
        </w:r>
        <w:r>
          <w:tab/>
        </w:r>
        <w:r>
          <w:fldChar w:fldCharType="begin"/>
        </w:r>
        <w:r>
          <w:instrText xml:space="preserve"> PAGEREF _Toc256000015 \h </w:instrText>
        </w:r>
        <w:r>
          <w:fldChar w:fldCharType="separate"/>
        </w:r>
        <w:r>
          <w:t>14</w:t>
        </w:r>
        <w:r>
          <w:fldChar w:fldCharType="end"/>
        </w:r>
      </w:hyperlink>
    </w:p>
    <w:p>
      <w:pPr>
        <w:pStyle w:val="TOC4"/>
        <w:rPr>
          <w:rFonts w:ascii="Calibri" w:hAnsi="Calibri"/>
          <w:noProof/>
          <w:sz w:val="22"/>
        </w:rPr>
      </w:pPr>
      <w:hyperlink w:anchor="_Toc256000016" w:history="1">
        <w:r>
          <w:rPr>
            <w:rStyle w:val="Hyperlink"/>
          </w:rPr>
          <w:t>1.2.1.7</w:t>
        </w:r>
        <w:r>
          <w:rPr>
            <w:rFonts w:ascii="Calibri" w:hAnsi="Calibri"/>
            <w:noProof/>
            <w:sz w:val="22"/>
          </w:rPr>
          <w:tab/>
        </w:r>
        <w:r>
          <w:drawing>
            <wp:inline>
              <wp:extent cx="152421" cy="152421"/>
              <wp:docPr id="100020" name="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563516156" name=""/>
                      <pic:cNvPicPr>
                        <a:picLocks noChangeAspect="1"/>
                      </pic:cNvPicPr>
                    </pic:nvPicPr>
                    <pic:blipFill>
                      <a:blip xmlns:r="http://schemas.openxmlformats.org/officeDocument/2006/relationships" r:embed="rId11"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52421" cy="152421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  <w:r>
          <w:rPr>
            <w:rStyle w:val="Hyperlink"/>
          </w:rPr>
          <w:t>3. Notificar Hospital/Clínica</w:t>
        </w:r>
        <w:r>
          <w:tab/>
        </w:r>
        <w:r>
          <w:fldChar w:fldCharType="begin"/>
        </w:r>
        <w:r>
          <w:instrText xml:space="preserve"> PAGEREF _Toc256000016 \h </w:instrText>
        </w:r>
        <w:r>
          <w:fldChar w:fldCharType="separate"/>
        </w:r>
        <w:r>
          <w:t>14</w:t>
        </w:r>
        <w:r>
          <w:fldChar w:fldCharType="end"/>
        </w:r>
      </w:hyperlink>
    </w:p>
    <w:p w:rsidR="00AE3ACF" w:rsidRPr="008D2D31" w:rsidP="00854218">
      <w:pPr>
        <w:jc w:val="center"/>
        <w:sectPr w:rsidSect="00503EE8">
          <w:headerReference w:type="even" r:id="rId15"/>
          <w:headerReference w:type="default" r:id="rId16"/>
          <w:footerReference w:type="default" r:id="rId17"/>
          <w:headerReference w:type="first" r:id="rId18"/>
          <w:pgSz w:w="12240" w:h="15840" w:code="1"/>
          <w:pgMar w:top="1616" w:right="1701" w:bottom="1418" w:left="1701" w:header="709" w:footer="255" w:gutter="0"/>
          <w:cols w:space="708"/>
          <w:docGrid w:linePitch="360"/>
        </w:sectPr>
      </w:pPr>
      <w:r w:rsidRPr="008D2D31">
        <w:fldChar w:fldCharType="end"/>
      </w:r>
    </w:p>
    <w:p>
      <w:pPr>
        <w:pStyle w:val="bizHeading1"/>
      </w:pPr>
      <w:bookmarkStart w:id="2" w:name="Id_c57b93a120e44bc6bd46f24d413502d4"/>
      <w:bookmarkStart w:id="3" w:name="_Toc256000002"/>
      <w:r>
        <w:t>TO BE - Retrovigilância (Receptor - Doador)</w:t>
      </w:r>
      <w:bookmarkEnd w:id="3"/>
    </w:p>
    <w:p>
      <w:pPr>
        <w:jc w:val="center"/>
      </w:pPr>
      <w:bookmarkEnd w:id="2"/>
      <w:r>
        <w:drawing>
          <wp:inline>
            <wp:extent cx="6286972" cy="5845810"/>
            <wp:docPr id="10000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012925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86972" cy="5845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ectPr>
          <w:pgSz w:w="15840" w:h="12240" w:orient="landscape"/>
          <w:pgMar w:top="1616" w:right="1701" w:bottom="1418" w:left="1701" w:header="708" w:footer="708"/>
          <w:cols w:space="708"/>
        </w:sectPr>
      </w:pPr>
    </w:p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 xml:space="preserve">Esse processo tem como escopo o redesenho do mapeamento de </w:t>
      </w:r>
      <w:r>
        <w:t>Retrovigilância (Receptor - Doador)</w:t>
      </w:r>
      <w:r>
        <w:t xml:space="preserve">, desde a necessidade do hospital/clínica comunicar ao hemocentro através de sistema, que o receptor </w:t>
      </w:r>
      <w:r>
        <w:t>posteriormente a transfusão apresentou viragem de um marcador/soroconversão para que se</w:t>
      </w:r>
      <w:r>
        <w:t xml:space="preserve"> inicie uma investigação retrospectiva relacionada à rastreabilidade</w:t>
      </w:r>
      <w:r>
        <w:t xml:space="preserve"> das bolsas de doações que foram recebidas pelo receptor que até a identificação ou descarte do doador em ser um possível transmissor.</w:t>
      </w:r>
    </w:p>
    <w:p>
      <w:pPr>
        <w:pStyle w:val="BoldModelerNormal"/>
      </w:pPr>
      <w:r>
        <w:t>SUPERINTENDÊNCIA ESTADUAL DE TECNOLOGIA DA INFORMAÇÃO E COMUNICAÇÃO</w:t>
      </w:r>
    </w:p>
    <w:p>
      <w:pPr>
        <w:pStyle w:val="ModelerNormal"/>
        <w:spacing w:afterAutospacing="1"/>
      </w:pPr>
      <w:bookmarkStart w:id="4" w:name="_dx_frag_StartFragment"/>
      <w:bookmarkEnd w:id="4"/>
      <w:r>
        <w:t>Delner Freire</w:t>
      </w:r>
      <w:r>
        <w:br/>
      </w:r>
      <w:r>
        <w:t>Superintendente</w:t>
      </w:r>
      <w:r>
        <w:br/>
      </w:r>
      <w:r>
        <w:br/>
      </w:r>
      <w:r>
        <w:t>Abdenildo Sobreira</w:t>
      </w:r>
      <w:r>
        <w:br/>
      </w:r>
      <w:r>
        <w:t>Diretor Técnico</w:t>
      </w:r>
      <w:r>
        <w:br/>
      </w:r>
      <w:r>
        <w:br/>
      </w:r>
      <w:r>
        <w:t>Henrique Douglas Freire</w:t>
      </w:r>
      <w:r>
        <w:br/>
      </w:r>
      <w:r>
        <w:t>Coordenador de Gestão Estratégica</w:t>
      </w:r>
      <w:r>
        <w:t> </w:t>
      </w:r>
    </w:p>
    <w:p>
      <w:pPr>
        <w:pStyle w:val="BoldModelerNormal"/>
      </w:pPr>
      <w:r>
        <w:t>ELABORAÇÃO</w:t>
      </w:r>
    </w:p>
    <w:p>
      <w:pPr>
        <w:pStyle w:val="ModelerNormal"/>
        <w:spacing w:afterAutospacing="1"/>
      </w:pPr>
      <w:r>
        <w:t>Thaís Roca - Analista de Processos</w:t>
      </w:r>
      <w:r>
        <w:br/>
      </w:r>
      <w:r>
        <w:t>Crislâny Andrade - Analista de Processos</w:t>
      </w:r>
    </w:p>
    <w:p>
      <w:pPr>
        <w:pStyle w:val="BoldModelerNormal"/>
      </w:pPr>
      <w:r>
        <w:t>COLABORAÇÃO</w:t>
      </w:r>
    </w:p>
    <w:p>
      <w:pPr>
        <w:pStyle w:val="ModelerNormal"/>
        <w:spacing w:afterAutospacing="1"/>
      </w:pPr>
      <w:r>
        <w:t>Ana Carolina</w:t>
      </w:r>
      <w:r>
        <w:t xml:space="preserve"> - </w:t>
      </w:r>
      <w:r>
        <w:t>Médica Hematologista da FHEMERON</w:t>
      </w:r>
      <w:bookmarkStart w:id="5" w:name="_dx_frag_EndFragment"/>
      <w:bookmarkEnd w:id="5"/>
    </w:p>
    <w:p>
      <w:pPr>
        <w:pStyle w:val="BoldModelerNormal"/>
      </w:pPr>
      <w:r>
        <w:t>REVISORES</w:t>
      </w:r>
    </w:p>
    <w:p>
      <w:pPr>
        <w:pStyle w:val="ModelerNormal"/>
        <w:spacing w:afterAutospacing="1"/>
      </w:pPr>
      <w:r>
        <w:t>Luma Damon</w:t>
      </w:r>
      <w:r>
        <w:t xml:space="preserve"> </w:t>
      </w:r>
      <w:r>
        <w:t>- Gerente de Processos</w:t>
      </w:r>
      <w:r>
        <w:br/>
      </w:r>
      <w:r>
        <w:t>Ana Carolina - Dona do Processo</w:t>
      </w:r>
      <w:r>
        <w:br/>
      </w:r>
      <w:r>
        <w:t>Geciele Gonçalves - Dona do Produto</w:t>
      </w:r>
    </w:p>
    <w:p>
      <w:pPr>
        <w:pStyle w:val="BoldModelerNormal"/>
      </w:pPr>
      <w:r>
        <w:t>VERSIONAMENTO</w:t>
      </w:r>
    </w:p>
    <w:tbl>
      <w:tblPr>
        <w:tblW w:w="5000" w:type="pct"/>
        <w:tblCellSpacing w:w="0" w:type="dxa"/>
        <w:tblInd w:w="16" w:type="dxa"/>
        <w:tblBorders>
          <w:top w:val="outset" w:sz="6" w:space="0" w:color="808080"/>
          <w:left w:val="outset" w:sz="6" w:space="0" w:color="808080"/>
          <w:bottom w:val="outset" w:sz="6" w:space="0" w:color="808080"/>
          <w:right w:val="outset" w:sz="6" w:space="0" w:color="808080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746"/>
        <w:gridCol w:w="1225"/>
        <w:gridCol w:w="3003"/>
        <w:gridCol w:w="3817"/>
      </w:tblGrid>
      <w:tr>
        <w:tblPrEx>
          <w:tblW w:w="5000" w:type="pct"/>
          <w:tblCellSpacing w:w="0" w:type="dxa"/>
          <w:tblInd w:w="16" w:type="dxa"/>
          <w:tblBorders>
            <w:top w:val="outset" w:sz="6" w:space="0" w:color="808080"/>
            <w:left w:val="outset" w:sz="6" w:space="0" w:color="808080"/>
            <w:bottom w:val="outset" w:sz="6" w:space="0" w:color="808080"/>
            <w:right w:val="outset" w:sz="6" w:space="0" w:color="80808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Versão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Data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Responsável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Ação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1.0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03/02/2023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  <w:r>
              <w:br/>
            </w:r>
            <w:r>
              <w:t>Crislâny Andrade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Modelagem do Processo de Negócio</w:t>
            </w:r>
          </w:p>
        </w:tc>
      </w:tr>
      <w:tr>
        <w:tblPrEx>
          <w:tblW w:w="5000" w:type="pct"/>
          <w:tblCellSpacing w:w="0" w:type="dxa"/>
          <w:tblInd w:w="16" w:type="dxa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blCellSpacing w:w="0" w:type="dxa"/>
        </w:trPr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1.1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19/05/2023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Thaís Roca</w:t>
            </w:r>
          </w:p>
        </w:tc>
        <w:tc>
          <w:tcPr>
            <w:tcBorders>
              <w:top w:val="inset" w:sz="6" w:space="0" w:color="808080"/>
              <w:left w:val="inset" w:sz="6" w:space="0" w:color="808080"/>
              <w:bottom w:val="inset" w:sz="6" w:space="0" w:color="808080"/>
              <w:right w:val="inset" w:sz="6" w:space="0" w:color="808080"/>
            </w:tcBorders>
            <w:noWrap w:val="0"/>
            <w:tcMar>
              <w:top w:w="8" w:type="dxa"/>
              <w:left w:w="8" w:type="dxa"/>
              <w:bottom w:w="8" w:type="dxa"/>
              <w:right w:w="8" w:type="dxa"/>
            </w:tcMar>
            <w:vAlign w:val="top"/>
            <w:hideMark/>
          </w:tcPr>
          <w:p>
            <w:pPr>
              <w:pStyle w:val="ModelerNormal"/>
              <w:spacing w:afterAutospacing="1"/>
            </w:pPr>
            <w:r>
              <w:t>Atualização de padrão textual</w:t>
            </w:r>
          </w:p>
        </w:tc>
      </w:tr>
    </w:tbl>
    <w:p>
      <w:pPr>
        <w:pStyle w:val="ModelerNormal"/>
        <w:spacing w:afterAutospacing="1"/>
      </w:pPr>
      <w:r>
        <w:t> </w:t>
      </w:r>
    </w:p>
    <w:p>
      <w:pPr>
        <w:pStyle w:val="BoldModelerNormal"/>
      </w:pPr>
      <w:r>
        <w:t xml:space="preserve">Versão: </w:t>
      </w:r>
    </w:p>
    <w:p>
      <w:pPr>
        <w:pStyle w:val="ModelerNormal"/>
      </w:pPr>
      <w:r>
        <w:t>1.0</w:t>
      </w:r>
    </w:p>
    <w:p>
      <w:pPr>
        <w:pStyle w:val="BoldModelerNormal"/>
      </w:pPr>
      <w:r>
        <w:t xml:space="preserve">Autor: </w:t>
      </w:r>
    </w:p>
    <w:p>
      <w:pPr>
        <w:pStyle w:val="ModelerNormal"/>
      </w:pPr>
      <w:r>
        <w:t>Governo de Rondônia | Superintendência Estadual de Tecnologia da Informação e Comunicação</w:t>
      </w:r>
    </w:p>
    <w:p>
      <w:pPr>
        <w:pStyle w:val="bizHeading2"/>
      </w:pPr>
      <w:bookmarkStart w:id="6" w:name="Id_8b2db9ca7f6447539be85b84b305447a"/>
      <w:bookmarkStart w:id="7" w:name="_Toc256000003"/>
      <w:r>
        <w:t>Hospital/Clínica</w:t>
      </w:r>
      <w:bookmarkEnd w:id="7"/>
    </w:p>
    <w:p>
      <w:pPr>
        <w:pStyle w:val="bizHeading3"/>
      </w:pPr>
      <w:bookmarkEnd w:id="6"/>
      <w:bookmarkStart w:id="8" w:name="_Toc256000004"/>
      <w:r>
        <w:t>Elementos do processo</w:t>
      </w:r>
      <w:bookmarkEnd w:id="8"/>
    </w:p>
    <w:p>
      <w:pPr>
        <w:pStyle w:val="bizHeading4"/>
      </w:pPr>
      <w:bookmarkStart w:id="9" w:name="_Toc256000005"/>
      <w:r>
        <w:drawing>
          <wp:inline>
            <wp:extent cx="152421" cy="152421"/>
            <wp:docPr id="1007368376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02611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Necessidade de informar Retrovigilância</w:t>
      </w:r>
      <w:bookmarkEnd w:id="9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Quando houver exame positivo em um </w:t>
      </w:r>
      <w:r>
        <w:t>receptor</w:t>
      </w:r>
      <w:r>
        <w:t> de transfusão</w:t>
      </w:r>
      <w:r>
        <w:t>, o hospital/clínica solicitante necessita notificar o Hemocentro para que seja iniciada a Retrovigilância, conforme</w:t>
      </w:r>
      <w:r>
        <w:t xml:space="preserve"> </w:t>
      </w:r>
      <w:r>
        <w:t>PORTARIA Nº 158, DE 4 DE FEVEREIRO DE 2016.</w:t>
      </w:r>
      <w:r>
        <w:t xml:space="preserve"> </w:t>
      </w:r>
    </w:p>
    <w:p>
      <w:pPr>
        <w:pStyle w:val="ModelerNormal"/>
        <w:spacing w:afterAutospacing="1"/>
      </w:pPr>
      <w:r>
        <w:t> </w:t>
      </w:r>
    </w:p>
    <w:p>
      <w:pPr>
        <w:pStyle w:val="bizHeading4"/>
      </w:pPr>
      <w:bookmarkStart w:id="10" w:name="_Toc256000006"/>
      <w:r>
        <w:drawing>
          <wp:inline>
            <wp:extent cx="152421" cy="152421"/>
            <wp:docPr id="88943099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0516632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Notificar Retrovigilância sobre receptor</w:t>
      </w:r>
      <w:bookmarkEnd w:id="10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 xml:space="preserve">  Notificar retrovigilância sobre receptor que apresentou </w:t>
      </w:r>
      <w:r>
        <w:t>doenças transmissíveis</w:t>
      </w:r>
      <w:r>
        <w:t>.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>Tarefa 1:</w:t>
      </w:r>
      <w:r>
        <w:t xml:space="preserve"> Abrir o sistema SIHRO com login e senha (usuário externo);</w:t>
      </w:r>
      <w:r>
        <w:br/>
      </w:r>
      <w:r>
        <w:t xml:space="preserve">Tarefa 2: </w:t>
      </w:r>
      <w:r>
        <w:t>Pesquisar o cadastro do receptor;</w:t>
      </w:r>
      <w:r>
        <w:br/>
      </w:r>
      <w:r>
        <w:t>Observações:</w:t>
      </w:r>
      <w:r>
        <w:br/>
      </w:r>
      <w:r>
        <w:t>1-</w:t>
      </w:r>
      <w:r>
        <w:t>Ir em perfil de receptor, abrir o histórico de solicitação de hemocomponentes e transfusões realizadas e relatar intercorrência pós-transfusão:</w:t>
      </w:r>
      <w:r>
        <w:br/>
      </w:r>
      <w:r>
        <w:t>·Relatando o código da bolsa (ou se foi mais de uma);</w:t>
      </w:r>
      <w:r>
        <w:br/>
      </w:r>
      <w:r>
        <w:t>·Data de transfusão;</w:t>
      </w:r>
      <w:r>
        <w:br/>
      </w:r>
      <w:r>
        <w:t>·Exames realizados, e o resultado do exame do receptor.</w:t>
      </w:r>
      <w:r>
        <w:br/>
      </w:r>
      <w:r>
        <w:t xml:space="preserve">2- </w:t>
      </w:r>
      <w:r>
        <w:t>Deverá conter a assinatura do responsável do atendimento do receptor.</w:t>
      </w:r>
      <w:r>
        <w:br/>
      </w:r>
      <w:r>
        <w:t>Tarefa 3: Enviar a notificação para o setor de Retrovigilância do Hemocentro.</w:t>
      </w:r>
      <w:r>
        <w:br/>
      </w:r>
      <w:r>
        <w:t xml:space="preserve">Ponto de atenção: Ao enviar, a solicitação ficará com o status de 'Pendente', pois estará aguardando que análise seja realizada pelo setor de Retrovigilância até a emissão do resultado. 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que o Hospital/Clínica notifique ao Hemocentro sobre a situação do receptor, para que seja realizada investigação do caso.  </w:t>
      </w:r>
    </w:p>
    <w:p>
      <w:pPr>
        <w:pStyle w:val="ModelerNormal"/>
        <w:spacing w:afterAutospacing="1"/>
      </w:pPr>
      <w:r>
        <w:t>MINISTÉRIO DA SAÚDE GABINETE DO MINISTRO</w:t>
      </w:r>
    </w:p>
    <w:p>
      <w:pPr>
        <w:pStyle w:val="ModelerNormal"/>
        <w:spacing w:afterAutospacing="1"/>
      </w:pPr>
      <w:r>
        <w:t>PORTARIA Nº 158, DE 04 DE FEVEREIRO DE 2016 DOU de 05/02/2016 (nº 25, Seção 1, pág. 37)</w:t>
      </w:r>
      <w:r>
        <w:br/>
      </w:r>
      <w:r>
        <w:t> </w:t>
      </w:r>
    </w:p>
    <w:p>
      <w:pPr>
        <w:pStyle w:val="ModelerNormal"/>
        <w:spacing w:afterAutospacing="1"/>
      </w:pPr>
      <w:r>
        <w:t xml:space="preserve">Redefine o regulamento técnico de procedimentos hemoterápicos. </w:t>
      </w:r>
    </w:p>
    <w:p>
      <w:pPr>
        <w:pStyle w:val="ModelerNormal"/>
        <w:spacing w:afterAutospacing="1"/>
      </w:pPr>
      <w:r>
        <w:t>TÍTULO I</w:t>
      </w:r>
    </w:p>
    <w:p>
      <w:pPr>
        <w:pStyle w:val="ModelerNormal"/>
        <w:spacing w:afterAutospacing="1"/>
      </w:pPr>
      <w:r>
        <w:t>DAS DISPOSIÇÕES GERAIS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 xml:space="preserve">Art. 5º Para fins desta Portaria, considera-se: </w:t>
      </w:r>
      <w:r>
        <w:br/>
      </w:r>
      <w:r>
        <w:t xml:space="preserve">XXXIV </w:t>
      </w:r>
      <w:r>
        <w:t>–</w:t>
      </w:r>
      <w:r>
        <w:t xml:space="preserve"> retrovigilância: parte da hemovigilância que trata da investigação retrospectiva relacionada à rastreabilidade das bolsas de doações anteriores de um doador que apresentou viragem de um marcador (soroconversão) ou relacionada a um receptor de sangue que veio a apresentar marcador positivo para uma doença transmissível, termo também aplicável em casos de detecção de positividade em análises microbiológicas de componentes sanguíneos e investigação de quadros infecciosos bacterianos em receptores, sem manifestação imediata, mas potencialmente imputados à transfusão;</w:t>
      </w:r>
    </w:p>
    <w:p>
      <w:pPr>
        <w:pStyle w:val="bizHeading4"/>
      </w:pPr>
      <w:bookmarkStart w:id="11" w:name="_Toc256000007"/>
      <w:r>
        <w:drawing>
          <wp:inline>
            <wp:extent cx="152421" cy="152421"/>
            <wp:docPr id="453078364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31708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Receber resultado</w:t>
      </w:r>
      <w:bookmarkEnd w:id="1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>  Receber resultado</w:t>
      </w:r>
      <w:r>
        <w:br/>
      </w:r>
      <w:r>
        <w:br/>
      </w:r>
      <w:r>
        <w:t>Quando:</w:t>
      </w:r>
      <w:r>
        <w:br/>
      </w:r>
      <w:r>
        <w:br/>
      </w:r>
      <w:r>
        <w:t>Como</w:t>
      </w:r>
      <w:r>
        <w:br/>
      </w:r>
      <w:r>
        <w:t xml:space="preserve">Tarefa 1: </w:t>
      </w:r>
      <w:r>
        <w:t>Abrir o sistema SIHRO com login e senha (usuário externo);</w:t>
      </w:r>
      <w:r>
        <w:br/>
      </w:r>
      <w:r>
        <w:t>Tarefa 2:</w:t>
      </w:r>
      <w:r>
        <w:t xml:space="preserve"> Verificar notificações;</w:t>
      </w:r>
      <w:r>
        <w:br/>
      </w:r>
      <w:r>
        <w:t>Tarefa 3:</w:t>
      </w:r>
      <w:r>
        <w:t xml:space="preserve"> Dar aceite de recebimento;</w:t>
      </w:r>
      <w:r>
        <w:br/>
      </w:r>
      <w:r>
        <w:t>Tarefa 4:</w:t>
      </w:r>
      <w:r>
        <w:t xml:space="preserve"> Analisar o resultado recebido.</w:t>
      </w:r>
    </w:p>
    <w:p>
      <w:pPr>
        <w:pStyle w:val="ModelerNormal"/>
        <w:spacing w:afterAutospacing="1"/>
      </w:pPr>
      <w:r>
        <w:t>Observações: </w:t>
      </w:r>
      <w:r>
        <w:br/>
      </w:r>
      <w:r>
        <w:t xml:space="preserve">1- </w:t>
      </w:r>
      <w:r>
        <w:t>Será notificado ao receber resultado da investigação realizada pelo setor de Retrovigilância;</w:t>
      </w:r>
      <w:r>
        <w:br/>
      </w:r>
      <w:r>
        <w:t xml:space="preserve">2- </w:t>
      </w:r>
      <w:r>
        <w:t>O Hospital/Clínica receberá relatório assinado pelo responsável da Retrovigilância contendo resultado da investigação realizada referente ao doador.</w:t>
      </w:r>
      <w:r>
        <w:br/>
      </w:r>
      <w:r>
        <w:br/>
      </w:r>
      <w:r>
        <w:t>Por que essa atividade acontece?</w:t>
      </w:r>
    </w:p>
    <w:p>
      <w:pPr>
        <w:pStyle w:val="ModelerNormal"/>
        <w:spacing w:afterAutospacing="1"/>
      </w:pPr>
      <w:r>
        <w:t>Essa atividade acontece porque é necessário que o Hospital/Clínica seja notificado com o resultado da investigação realizada com o doador.</w:t>
      </w:r>
      <w:r>
        <w:t> </w:t>
      </w:r>
    </w:p>
    <w:p>
      <w:pPr>
        <w:pStyle w:val="BoldModelerNormal"/>
      </w:pPr>
      <w:r>
        <w:t>Implementação</w:t>
      </w:r>
    </w:p>
    <w:p>
      <w:pPr>
        <w:pStyle w:val="ModelerNormal"/>
      </w:pPr>
      <w:r>
        <w:t>Serviço Web</w:t>
      </w:r>
    </w:p>
    <w:p>
      <w:pPr>
        <w:pStyle w:val="bizHeading2"/>
      </w:pPr>
      <w:bookmarkStart w:id="12" w:name="Id_0ffd12769d1948e2b46620d2ad31e05b"/>
      <w:bookmarkStart w:id="13" w:name="_Toc256000008"/>
      <w:r>
        <w:t>RETROVIGILÂNCIA (RECEPTOR - DOADOR- TO BE</w:t>
      </w:r>
      <w:bookmarkEnd w:id="13"/>
    </w:p>
    <w:p>
      <w:pPr>
        <w:pStyle w:val="bizHeading3"/>
      </w:pPr>
      <w:bookmarkEnd w:id="12"/>
      <w:bookmarkStart w:id="14" w:name="_Toc256000009"/>
      <w:r>
        <w:t>Elementos do processo</w:t>
      </w:r>
      <w:bookmarkEnd w:id="14"/>
    </w:p>
    <w:p>
      <w:pPr>
        <w:pStyle w:val="bizHeading4"/>
      </w:pPr>
      <w:bookmarkStart w:id="15" w:name="_Toc256000010"/>
      <w:r>
        <w:drawing>
          <wp:inline>
            <wp:extent cx="152421" cy="152421"/>
            <wp:docPr id="64810416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425529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1. Dar o aceite em notificação recebida</w:t>
      </w:r>
      <w:bookmarkEnd w:id="15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 xml:space="preserve"> Sistema SIHRO</w:t>
      </w:r>
      <w:r>
        <w:br/>
      </w:r>
      <w:r>
        <w:br/>
      </w:r>
      <w:r>
        <w:t>O que:</w:t>
      </w:r>
      <w:r>
        <w:t> Dar o aceite em notificação recebida</w:t>
      </w:r>
      <w:r>
        <w:br/>
      </w:r>
      <w:r>
        <w:br/>
      </w:r>
      <w:r>
        <w:t>Quando:</w:t>
      </w:r>
      <w:r>
        <w:t> Após receber notificação do hospital/clínica referente ao receptor </w:t>
      </w:r>
      <w:r>
        <w:br/>
      </w:r>
      <w:r>
        <w:br/>
      </w:r>
      <w:r>
        <w:t>Como:</w:t>
      </w:r>
      <w:r>
        <w:br/>
      </w:r>
      <w:r>
        <w:t>Tarefa 1</w:t>
      </w:r>
      <w:r>
        <w:t>: Abrir o sistema SIHRO com login e senha; 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O sistema deverá emitir alerta de notificação recebida.</w:t>
      </w:r>
    </w:p>
    <w:p>
      <w:pPr>
        <w:pStyle w:val="ModelerNormal"/>
        <w:spacing w:afterAutospacing="1"/>
      </w:pPr>
      <w:r>
        <w:t>Tarefa 2:</w:t>
      </w:r>
      <w:r>
        <w:t xml:space="preserve"> Verificar notificações da Retrovigilância;</w:t>
      </w:r>
      <w:r>
        <w:br/>
      </w:r>
      <w:r>
        <w:t>Tarefa 3:</w:t>
      </w:r>
      <w:r>
        <w:t xml:space="preserve"> Dar aceite de recebimento de notificação do hospital/clínica;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Após o aceite no sistema, o hospital/clínica conseguira visualizar o recebimento das informações.</w:t>
      </w:r>
      <w:r>
        <w:br/>
      </w:r>
      <w:r>
        <w:t>Tarefa 4:</w:t>
      </w:r>
      <w:r>
        <w:t xml:space="preserve"> Analisar as informações que foram relatadas.</w:t>
      </w:r>
    </w:p>
    <w:p>
      <w:pPr>
        <w:pStyle w:val="ModelerNormal"/>
        <w:spacing w:afterAutospacing="1"/>
      </w:pPr>
      <w:r>
        <w:t>Observação: </w:t>
      </w:r>
      <w:r>
        <w:br/>
      </w:r>
      <w:r>
        <w:t xml:space="preserve">1- </w:t>
      </w:r>
      <w:r>
        <w:t>As informações que constarão no sistema para que seja verificado pelo responsável da Retrovigilância serão: o histórico da bolsa transfundida e o código (ou se foi mais de uma), data de transfusão, exames realizados no receptor junto ao resultado.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dar aceite de recebimento de notificação do hospital/clínica após receptor realizar exames obtendo total conhecimento das informações do receptor e o tipo de viragem laboratorial/soroconversão, e se há doadores envolvidos.</w:t>
      </w:r>
      <w:r>
        <w:br/>
      </w:r>
      <w:r>
        <w:t> </w:t>
      </w:r>
      <w:r>
        <w:br/>
      </w:r>
      <w:r>
        <w:t> </w:t>
      </w:r>
    </w:p>
    <w:p>
      <w:pPr>
        <w:pStyle w:val="bizHeading4"/>
      </w:pPr>
      <w:bookmarkStart w:id="16" w:name="_Toc256000011"/>
      <w:r>
        <w:drawing>
          <wp:inline>
            <wp:extent cx="152421" cy="152421"/>
            <wp:docPr id="83455618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83989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2. Consultar histórico de doações</w:t>
      </w:r>
      <w:bookmarkEnd w:id="16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 Sistema SIHRO</w:t>
      </w:r>
      <w:r>
        <w:br/>
      </w:r>
      <w:r>
        <w:br/>
      </w:r>
      <w:r>
        <w:t>O que: </w:t>
      </w:r>
      <w:r>
        <w:t xml:space="preserve"> Consultar histórico de doações</w:t>
      </w:r>
      <w:r>
        <w:br/>
      </w:r>
      <w:r>
        <w:br/>
      </w:r>
      <w:r>
        <w:t>Quando: </w:t>
      </w:r>
      <w:r>
        <w:br/>
      </w:r>
      <w:r>
        <w:br/>
      </w:r>
      <w:r>
        <w:t>Como</w:t>
      </w:r>
      <w:r>
        <w:br/>
      </w:r>
      <w:r>
        <w:t>Tarefa 1:</w:t>
      </w:r>
      <w:r>
        <w:t xml:space="preserve"> Verificar o histórico de doações do doador através do código do doador;</w:t>
      </w:r>
    </w:p>
    <w:p>
      <w:pPr>
        <w:pStyle w:val="ModelerNormal"/>
        <w:spacing w:afterAutospacing="1"/>
      </w:pPr>
      <w:r>
        <w:t>Obsservações:</w:t>
      </w:r>
      <w:r>
        <w:br/>
      </w:r>
      <w:r>
        <w:t xml:space="preserve">1 - </w:t>
      </w:r>
      <w:r>
        <w:t>Através do código da bolsa é possível identificar o doador</w:t>
      </w:r>
      <w:r>
        <w:t xml:space="preserve"> e verificar histórico de doações</w:t>
      </w:r>
    </w:p>
    <w:p>
      <w:pPr>
        <w:pStyle w:val="ModelerNormal"/>
        <w:spacing w:afterAutospacing="1"/>
      </w:pPr>
      <w:r>
        <w:t>Tarefa 2:</w:t>
      </w:r>
      <w:r>
        <w:t xml:space="preserve"> Consultar os exames do doador; </w:t>
      </w:r>
    </w:p>
    <w:p>
      <w:pPr>
        <w:pStyle w:val="ModelerNormal"/>
        <w:spacing w:afterAutospacing="1"/>
      </w:pPr>
      <w:r>
        <w:t>Observações:</w:t>
      </w:r>
      <w:r>
        <w:br/>
      </w:r>
      <w:r>
        <w:t xml:space="preserve">1 - </w:t>
      </w:r>
      <w:r>
        <w:t>Será verificado a data das últimas doações do doador;</w:t>
      </w:r>
      <w:r>
        <w:br/>
      </w:r>
      <w:r>
        <w:t>2 -</w:t>
      </w:r>
      <w:r>
        <w:t xml:space="preserve"> Se o doador compareceu posteriormente àquela doação para realizar novas doações e seus resultados dos testes foram não reagentes, não será necessário convocar o doador e encerra-se a retrovigilância, pois ele será descartado como possível transmissor; </w:t>
      </w:r>
      <w:r>
        <w:br/>
      </w:r>
      <w:r>
        <w:t xml:space="preserve">3 - </w:t>
      </w:r>
      <w:r>
        <w:t>Caso o doador não tenha comparecido ao hemocentro para realizar nova doação em um período minimo, conforme tabela abaixo, será necessário convocá-lo para estar realizando coleta de 2ª amostra para que seja realizado testes sorológicos e verificar se o resultado será reagente ou não reagente;</w:t>
      </w:r>
      <w:r>
        <w:br/>
      </w:r>
      <w:r>
        <w:t xml:space="preserve">4 - </w:t>
      </w:r>
      <w:r>
        <w:t>Após a coleta de 2ª amostra, o resultado for reagente, inicia-se imediatamente a retrovigilância doador-receptor. Caso a 2ª amostra não reagente, não se aplica retrovigilância e se descarta o doador como possível transmissor;</w:t>
      </w:r>
      <w:r>
        <w:br/>
      </w:r>
      <w:r>
        <w:t xml:space="preserve">5 - </w:t>
      </w:r>
      <w:r>
        <w:t>Será necessário informar ao Hospital/Clínica sobre os resultados das investigações.</w:t>
      </w:r>
      <w:r>
        <w:br/>
      </w:r>
      <w:r>
        <w:br/>
      </w:r>
      <w:r>
        <w:t>Por que essa atividade acontece?</w:t>
      </w:r>
      <w:r>
        <w:br/>
      </w:r>
      <w:r>
        <w:t xml:space="preserve">Essa atividade acontece porque é necessário identificar o doador, avaliar o seu histórico de doações anteriores e os últimos resultados dos seus testes sorológicos, usando como base a tabela do tempo mínimo entre a doação índice e a amostra não reagente posterior para descartar a possibilidade de transmissão da infecção/doença via transfusão do livro de Marco Conceitual e Operacional da Hemovigilância: Guia para Hemovigilância no Brasil. </w:t>
      </w:r>
      <w:r>
        <w:br/>
      </w:r>
      <w:r>
        <w:br/>
      </w:r>
      <w:r>
        <w:t> </w:t>
      </w:r>
      <w:r>
        <w:t>Imagem 01:</w:t>
      </w:r>
    </w:p>
    <w:p>
      <w:pPr>
        <w:pStyle w:val="ModelerNormal"/>
        <w:spacing w:afterAutospacing="1"/>
      </w:pPr>
      <w:r>
        <w:drawing>
          <wp:inline>
            <wp:extent cx="5848350" cy="2514600"/>
            <wp:docPr id="100015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639747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84835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MINISTÉRIO DA SAÚDE GABINETE DO MINISTRO</w:t>
      </w:r>
    </w:p>
    <w:p>
      <w:pPr>
        <w:pStyle w:val="ModelerNormal"/>
        <w:spacing w:afterAutospacing="1"/>
      </w:pPr>
      <w:r>
        <w:t>PORTARIA Nº 158, DE 04 DE FEVEREIRO DE 2016 DOU de 05/02/2016 (nº 25, Seção 1, pág. 37)</w:t>
      </w:r>
      <w:r>
        <w:br/>
      </w:r>
      <w:r>
        <w:t> </w:t>
      </w:r>
    </w:p>
    <w:p>
      <w:pPr>
        <w:pStyle w:val="ModelerNormal"/>
        <w:spacing w:afterAutospacing="1"/>
      </w:pPr>
      <w:r>
        <w:t>Redefine o regulamento técnico de procedimentos hemoterápicos. </w:t>
      </w:r>
    </w:p>
    <w:p>
      <w:pPr>
        <w:pStyle w:val="ModelerNormal"/>
        <w:spacing w:afterAutospacing="1"/>
      </w:pPr>
      <w:r>
        <w:t>Seção VI</w:t>
      </w:r>
    </w:p>
    <w:p>
      <w:pPr>
        <w:pStyle w:val="ModelerNormal"/>
        <w:spacing w:afterAutospacing="1"/>
      </w:pPr>
      <w:r>
        <w:t xml:space="preserve">Dos Exames de Qualificação no Sangue do Doador </w:t>
      </w:r>
    </w:p>
    <w:p>
      <w:pPr>
        <w:pStyle w:val="ModelerNormal"/>
        <w:spacing w:afterAutospacing="1"/>
      </w:pPr>
      <w:r>
        <w:t> </w:t>
      </w:r>
    </w:p>
    <w:p>
      <w:pPr>
        <w:pStyle w:val="ModelerNormal"/>
        <w:spacing w:afterAutospacing="1"/>
      </w:pPr>
      <w:r>
        <w:t>Art. 135. Quando os testes de triagem forem reagentes (positivo ou inconclusivo) em um doador de sangue que em doações prévias apresentava testes não reagentes/negativos, o que configura soroconversão ou viragem, o serviço de hemoterapia adotará procedimentos de Retrovigilância.</w:t>
      </w:r>
      <w:r>
        <w:br/>
      </w:r>
      <w:r>
        <w:t>§ 1º Quando a soroconversão/viragem for detectada pelo teste de detecção de ácido nucleico (NAT) do HIV, HCV e/ou HBV, isoladamente ou em associação com o teste sorológico, não é necessária a realização de testes para confirmação do resultado inicial.</w:t>
      </w:r>
      <w:r>
        <w:br/>
      </w:r>
      <w:r>
        <w:t>§ 2º Quando a soroconversão/viragem for detectada somente pelo teste sorológico, é necessária a realização de testes com a mesma amostra, para confirmação do resultado inicial, conforme o caso: </w:t>
      </w:r>
    </w:p>
    <w:p>
      <w:pPr>
        <w:pStyle w:val="ModelerNormal"/>
        <w:spacing w:afterAutospacing="1"/>
      </w:pPr>
      <w:r>
        <w:t>I - HBsAg: realizar teste de neutralização, ou 1 (um) segundo teste com reagente de outra origem ou de outro fabricante ou com outra metodologia;</w:t>
      </w:r>
      <w:r>
        <w:br/>
      </w:r>
      <w:r>
        <w:t>II - Anti-HBc: realizar 1 (um) segundo teste com reagente de outra origem ou de outro fabricante ou com outra metodologia;</w:t>
      </w:r>
      <w:r>
        <w:br/>
      </w:r>
      <w:r>
        <w:t>III - Anti-HCV: realizar 1 (um) segundo teste de detecção de anticorpo com reagente de outra origem ou de outro fabricante ou com outra metodologia, ou teste com reagente que detecte de maneira combinada antígeno e anticorpo do HCV;</w:t>
      </w:r>
      <w:r>
        <w:br/>
      </w:r>
      <w:r>
        <w:t>IV - Anti-HIV: realizar 1 (um) segundo teste de detecção de anticorpo ou detecção combinada do anticorpo contra o HIV + antígeno p24 do HIV, com reagente de outra origem ou de outro fabricante ou com outra metodologia; e</w:t>
      </w:r>
      <w:r>
        <w:br/>
      </w:r>
      <w:r>
        <w:t>V - Anti-HTLV I/II: realizar 1 (um) segundo teste de detecção de anticorpo com reagente de outra origem ou de outro fabricante ou com outra metodologia, ou teste de detecção de ácido nucléico (NAT) do HTLV I/II.</w:t>
      </w:r>
      <w:r>
        <w:br/>
      </w:r>
      <w:r>
        <w:t>§ 3º Caso o laboratório que realizou os testes de triagem não faça o teste de confirmação de resultado inicial, a mesma amostra será encaminhada a outro laboratório no prazo de 10 (dez) dias úteis para a sua realização ou o processo de Retrovigilância será desencadeado mesmo sem a confirmação do resultado inicial.</w:t>
      </w:r>
      <w:r>
        <w:br/>
      </w:r>
      <w:r>
        <w:t>§ 4º Na hipótese do § 3º, o laboratório que realizar o teste de confirmação de resultado inicial remeterá o resultado do exame ao serviço de hemoterapia no prazo máximo de 30 (trinta) dias.</w:t>
      </w:r>
      <w:r>
        <w:br/>
      </w:r>
      <w:r>
        <w:t>Art. 136. No caso do teste de confirmação do resultado inicial apontar resultado reagente (positivo ou inconclusivo), o serviço de hemoterapia verificará o destino de todos os componentes sanguíneos da(s) doação(ões) anterior(es), adotando os seguintes procedimentos:</w:t>
      </w:r>
      <w:r>
        <w:br/>
      </w:r>
      <w:r>
        <w:t>I - nos casos de soroconversão com confirmação dos resultados iniciais reagentes (positivo ou inconclusivo) para Anti-HIV, Anti-HCV, HBsAg ou Anti-HTLV I/II, realizar-se-á a investigação de Retrovigilância da última doação com triagem sorológica não reagente e todas as doações realizadas até 6 (seis) meses antes desta;</w:t>
      </w:r>
      <w:r>
        <w:br/>
      </w:r>
      <w:r>
        <w:t>II - nos casos de soroconversão com confirmação do resultado inicial reagente (positivo ou inconclusivo) para Anti-HBc, realizar-se-á a investigação de Retrovigilância para a última doação (mais recente) com triagem sorológica não reagente, caso esta tenha ocorrido menos de 12 (doze) meses antes da soroconversão; e</w:t>
      </w:r>
      <w:r>
        <w:br/>
      </w:r>
      <w:r>
        <w:t>III - nos casos de soroconversão para teste de detecção de ácido nucleico (NAT) para HIV, HCV e/ou HBV, com teste de triagem sorológica não reagente realizar-se-á a investigação de Retrovigilância da última doação com triagem laboratorial negativa e todas as doações realizadas até 3 (três) meses antes desta.</w:t>
      </w:r>
      <w:r>
        <w:br/>
      </w:r>
      <w:r>
        <w:t>§ 1º O teste de detecção de ácido nucléico (NAT) do agente infeccioso que estiver sendo investigado pode ser realizado na amostra da doação anterior à soroconversão, utilizando amostra da plasmateca/soroteca ou da unidade de plasma armazenado.</w:t>
      </w:r>
      <w:r>
        <w:br/>
      </w:r>
      <w:r>
        <w:t>§ 2º Na hipótese do § 1º, o procedimento de Retrovigilância deve ser realizado, independentemente do resultado obtido.</w:t>
      </w:r>
      <w:r>
        <w:br/>
      </w:r>
      <w:r>
        <w:t>§ 3º Caso ainda haja algum componente sanguíneo envolvido no procedimento de Retrovigilância armazenado em qualquer serviço de hemoterapia, realizar-se-á a devolução para o serviço produtor para as providências cabíveis.</w:t>
      </w:r>
      <w:r>
        <w:br/>
      </w:r>
      <w:r>
        <w:t>§ 4º O serviço de hemoterapia comunicará, simultaneamente e por escrito, à indústria que recebeu o plasma, à ANVISA e à CGSH/DAHU/SAS/MS quando as unidades de plasma das doações envolvidas no procedimento de Retrovigilância já tiverem sido enviadas para o fracionamento industrial.  </w:t>
      </w:r>
    </w:p>
    <w:p>
      <w:pPr>
        <w:pStyle w:val="bizHeading4"/>
      </w:pPr>
      <w:bookmarkStart w:id="17" w:name="_Toc256000012"/>
      <w:r>
        <w:drawing>
          <wp:inline>
            <wp:extent cx="152421" cy="152421"/>
            <wp:docPr id="112597255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8863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Notificar o Serviço Social</w:t>
      </w:r>
      <w:bookmarkEnd w:id="17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 Sistema SIHRO</w:t>
      </w:r>
      <w:r>
        <w:br/>
      </w:r>
      <w:r>
        <w:br/>
      </w:r>
      <w:r>
        <w:t>O que:</w:t>
      </w:r>
      <w:r>
        <w:t>  Notificar os setores</w:t>
      </w:r>
      <w:r>
        <w:br/>
      </w:r>
      <w:r>
        <w:br/>
      </w:r>
      <w:r>
        <w:t>Quando:</w:t>
      </w:r>
      <w:r>
        <w:br/>
      </w:r>
      <w:r>
        <w:br/>
      </w:r>
      <w:r>
        <w:t>Como:</w:t>
      </w:r>
      <w:r>
        <w:br/>
      </w:r>
      <w:r>
        <w:t>Serviço Social</w:t>
      </w:r>
      <w:r>
        <w:br/>
      </w:r>
      <w:r>
        <w:t>Tarefa 1:</w:t>
      </w:r>
      <w:r>
        <w:t xml:space="preserve"> Notificar o Serviço Social solicitando para que seja realizada a convocação do doador. </w:t>
      </w:r>
    </w:p>
    <w:p>
      <w:pPr>
        <w:pStyle w:val="ModelerNormal"/>
        <w:spacing w:afterAutospacing="1"/>
      </w:pPr>
      <w:r>
        <w:t>Observação:</w:t>
      </w:r>
      <w:r>
        <w:br/>
      </w:r>
      <w:r>
        <w:t xml:space="preserve">1- </w:t>
      </w:r>
      <w:r>
        <w:t>Será informado através do sistema o nome do doador e o motivo para está realizando a convocação;</w:t>
      </w:r>
      <w:r>
        <w:br/>
      </w:r>
      <w:r>
        <w:t>Departamento Médico</w:t>
      </w:r>
      <w:r>
        <w:br/>
      </w:r>
      <w:r>
        <w:t>Tarefa 1:</w:t>
      </w:r>
      <w:r>
        <w:t xml:space="preserve"> Inserir no sistema o motivo da convocação do doador para que o Departamento Médico verifique ao abrir o cadastro do doador.</w:t>
      </w:r>
      <w:r>
        <w:br/>
      </w:r>
      <w:r>
        <w:t xml:space="preserve">Observação: </w:t>
      </w:r>
      <w:r>
        <w:br/>
      </w:r>
      <w:r>
        <w:t xml:space="preserve">1 - </w:t>
      </w:r>
      <w:r>
        <w:t>O sistema terá campo de observação para registro das informações, não contendo limites de caracteres.</w:t>
      </w:r>
      <w:r>
        <w:t xml:space="preserve"> </w:t>
      </w:r>
      <w:r>
        <w:br/>
      </w:r>
      <w:r>
        <w:br/>
      </w:r>
      <w:r>
        <w:t>Por que essa atividade acontece?</w:t>
      </w:r>
    </w:p>
    <w:p>
      <w:pPr>
        <w:pStyle w:val="ModelerNormal"/>
        <w:spacing w:afterAutospacing="1"/>
      </w:pPr>
      <w:r>
        <w:t>Essa atividade acontece porque é necessário notificar os setores de Serviço Social para realizar convocação do doador, e do Departamento Médico para que possa realizar o atendimento médico no comparecimento do doador.</w:t>
      </w:r>
    </w:p>
    <w:p>
      <w:pPr>
        <w:pStyle w:val="bizHeading4"/>
      </w:pPr>
      <w:bookmarkStart w:id="18" w:name="_Toc256000013"/>
      <w:r>
        <w:drawing>
          <wp:inline>
            <wp:extent cx="152421" cy="152421"/>
            <wp:docPr id="1379200428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8519617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4. Dar o aceite de notificação recebida</w:t>
      </w:r>
      <w:bookmarkEnd w:id="18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</w:t>
      </w:r>
      <w:r>
        <w:t>  Sistema SIHRO</w:t>
      </w:r>
      <w:r>
        <w:br/>
      </w:r>
      <w:r>
        <w:br/>
      </w:r>
      <w:r>
        <w:t>O que:</w:t>
      </w:r>
      <w:r>
        <w:t>  Dar aceite de notificação recebida</w:t>
      </w:r>
      <w:r>
        <w:br/>
      </w:r>
      <w:r>
        <w:br/>
      </w:r>
      <w:r>
        <w:t>Quando:</w:t>
      </w:r>
      <w:r>
        <w:t xml:space="preserve"> Após ser emitida a notificação para convocar o doador</w:t>
      </w:r>
      <w:r>
        <w:br/>
      </w:r>
      <w:r>
        <w:br/>
      </w:r>
      <w:r>
        <w:t>Como</w:t>
      </w:r>
      <w:r>
        <w:br/>
      </w:r>
      <w:r>
        <w:t>Tarefa 1:</w:t>
      </w:r>
      <w:r>
        <w:t xml:space="preserve"> Acessar o sistema SIHRO com login e senha;</w:t>
      </w:r>
      <w:r>
        <w:br/>
      </w:r>
      <w:r>
        <w:t>Tarefa 2:</w:t>
      </w:r>
      <w:r>
        <w:t xml:space="preserve"> Verificar as notificações;</w:t>
      </w:r>
      <w:r>
        <w:br/>
      </w:r>
      <w:r>
        <w:t>Tarefa 3:</w:t>
      </w:r>
      <w:r>
        <w:t xml:space="preserve"> Dar o aceite de que recebeu a notificação.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dar o aceite no sistema informando que recebeu a notificação para posterior convocação do doador que necessita coletar 2ª amostra.</w:t>
      </w:r>
      <w:r>
        <w:t xml:space="preserve"> </w:t>
      </w:r>
      <w:r>
        <w:t> </w:t>
      </w:r>
    </w:p>
    <w:p>
      <w:pPr>
        <w:pStyle w:val="bizHeading4"/>
      </w:pPr>
      <w:bookmarkStart w:id="19" w:name="_Toc256000014"/>
      <w:r>
        <w:drawing>
          <wp:inline>
            <wp:extent cx="152421" cy="152421"/>
            <wp:docPr id="136694838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619376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Notificar Hospital/Clínica</w:t>
      </w:r>
      <w:bookmarkEnd w:id="19"/>
    </w:p>
    <w:p/>
    <w:p>
      <w:pPr>
        <w:pStyle w:val="bizHeading4"/>
      </w:pPr>
      <w:bookmarkStart w:id="20" w:name="_Toc256000015"/>
      <w:r>
        <w:drawing>
          <wp:inline>
            <wp:extent cx="152421" cy="152421"/>
            <wp:docPr id="1993625487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897001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Notificar Hospital/Clínica</w:t>
      </w:r>
      <w:bookmarkEnd w:id="20"/>
    </w:p>
    <w:p/>
    <w:p>
      <w:pPr>
        <w:pStyle w:val="bizHeading4"/>
      </w:pPr>
      <w:bookmarkStart w:id="21" w:name="_Toc256000016"/>
      <w:r>
        <w:drawing>
          <wp:inline>
            <wp:extent cx="152421" cy="152421"/>
            <wp:docPr id="792659069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45402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52421" cy="152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3. Notificar Hospital/Clínica</w:t>
      </w:r>
      <w:bookmarkEnd w:id="21"/>
    </w:p>
    <w:p/>
    <w:p>
      <w:pPr>
        <w:pStyle w:val="BoldModelerNormal"/>
      </w:pPr>
      <w:r>
        <w:t>Descrição</w:t>
      </w:r>
    </w:p>
    <w:p>
      <w:pPr>
        <w:pStyle w:val="ModelerNormal"/>
        <w:spacing w:afterAutospacing="1"/>
      </w:pPr>
      <w:r>
        <w:t>Onde: </w:t>
      </w:r>
      <w:r>
        <w:t xml:space="preserve"> Sistema SIHRO</w:t>
      </w:r>
      <w:r>
        <w:br/>
      </w:r>
      <w:r>
        <w:br/>
      </w:r>
      <w:r>
        <w:t>O que: </w:t>
      </w:r>
      <w:r>
        <w:t xml:space="preserve"> Notificar Hospital/Clínica</w:t>
      </w:r>
      <w:r>
        <w:br/>
      </w:r>
      <w:r>
        <w:br/>
      </w:r>
      <w:r>
        <w:t>Quando:</w:t>
      </w:r>
      <w:r>
        <w:t xml:space="preserve"> Após descartar o doador como possível transmissor</w:t>
      </w:r>
      <w:r>
        <w:br/>
      </w:r>
      <w:r>
        <w:br/>
      </w:r>
      <w:r>
        <w:t>Como:</w:t>
      </w:r>
      <w:r>
        <w:br/>
      </w:r>
      <w:r>
        <w:t>Tarefa 1:</w:t>
      </w:r>
      <w:r>
        <w:t xml:space="preserve"> Notificar o hospital/Cínica sobre informações levantadas, que o doador não apresentou resultados sorológicos reagentes nas doações posteriores e com isso descarta-se a possibilidade de fonte de transmissão</w:t>
      </w:r>
      <w:r>
        <w:t>.</w:t>
      </w:r>
      <w:r>
        <w:br/>
      </w:r>
      <w:r>
        <w:t>Observações:</w:t>
      </w:r>
      <w:r>
        <w:br/>
      </w:r>
      <w:r>
        <w:t xml:space="preserve">1- </w:t>
      </w:r>
      <w:r>
        <w:t>Será emitido um relatório, informando os resultados da investigação referente ao doador;</w:t>
      </w:r>
      <w:r>
        <w:br/>
      </w:r>
      <w:r>
        <w:t xml:space="preserve">2- </w:t>
      </w:r>
      <w:r>
        <w:t>O sistema terá campo para registar as demais informações que achar pertinente;</w:t>
      </w:r>
      <w:r>
        <w:br/>
      </w:r>
      <w:r>
        <w:t xml:space="preserve">3- </w:t>
      </w:r>
      <w:r>
        <w:t>O responsável da Retrovigilância deverá assinar (através do sistema usando o SAURON) após o preenchimento das informações.</w:t>
      </w:r>
      <w:r>
        <w:br/>
      </w:r>
      <w:r>
        <w:br/>
      </w:r>
      <w:r>
        <w:t>Por que essa atividade acontece?</w:t>
      </w:r>
      <w:r>
        <w:br/>
      </w:r>
      <w:r>
        <w:t>Essa atividade acontece porque é necessário informar ao Hospital/Clínica os resultados não reagentes, se encerrando o caso, não sendo esta a fonte de transmissão ao receptor.</w:t>
      </w:r>
    </w:p>
    <w:p/>
    <w:sectPr>
      <w:pgSz w:w="12240" w:h="15840"/>
      <w:pgMar w:top="1616" w:right="1701" w:bottom="1418" w:left="1701"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eo Sans Std">
    <w:panose1 w:val="020B0504030504040204"/>
    <w:charset w:val="00"/>
    <w:family w:val="swiss"/>
    <w:pitch w:val="variable"/>
    <w:sig w:usb0="800000AF" w:usb1="5000205B" w:usb2="00000000" w:usb3="00000000" w:csb0="00000001" w:csb1="00000000"/>
  </w:font>
  <w:font w:name="Aller">
    <w:altName w:val="Corbel"/>
    <w:panose1 w:val="02000503030000020004"/>
    <w:charset w:val="00"/>
    <w:family w:val="auto"/>
    <w:pitch w:val="variable"/>
    <w:sig w:usb0="00000001" w:usb1="5000205B" w:usb2="00000000" w:usb3="00000000" w:csb0="00000093" w:csb1="00000000"/>
  </w:font>
  <w:font w:name="Aller Light">
    <w:altName w:val="Corbel"/>
    <w:panose1 w:val="02000503000000020004"/>
    <w:charset w:val="00"/>
    <w:family w:val="auto"/>
    <w:pitch w:val="variable"/>
    <w:sig w:usb0="00000001" w:usb1="5000205B" w:usb2="00000000" w:usb3="00000000" w:csb0="000000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Semibold"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Vrinda">
    <w:panose1 w:val="00000400000000000000"/>
    <w:charset w:val="01"/>
    <w:family w:val="roman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P="00F05C3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B603BE" w:rsidP="00B603BE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686E" w:rsidRPr="003B5308" w:rsidP="003B5308">
    <w:pPr>
      <w:pStyle w:val="Footer"/>
      <w:rPr>
        <w:i/>
        <w:iCs/>
        <w:lang w:val="es-CO"/>
      </w:rPr>
    </w:pPr>
    <w:r>
      <w:rPr>
        <w:i/>
        <w:iCs/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width:103.2pt;height:26.5pt;margin-top:-19.35pt;margin-left:-46.95pt;position:absolute;z-index:-251658240" stroked="f">
          <v:textbox>
            <w:txbxContent>
              <w:p w:rsidR="003B5308" w:rsidRPr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i</w:t>
                  </w:r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.com</w:t>
                  </w:r>
                </w:hyperlink>
              </w:p>
            </w:txbxContent>
          </v:textbox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5308">
    <w:pPr>
      <w:pStyle w:val="Footer"/>
    </w:pPr>
    <w:r>
      <w:rPr>
        <w:noProof/>
        <w:lang w:val="es-CO" w:eastAsia="es-CO" w:bidi="bn-IN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width:103.2pt;height:26.5pt;margin-top:-16.45pt;margin-left:-49.65pt;position:absolute;z-index:251659264" stroked="f">
          <v:textbox>
            <w:txbxContent>
              <w:p w:rsidR="003B5308" w:rsidRPr="003B5308" w:rsidP="003B5308">
                <w:pPr>
                  <w:rPr>
                    <w:rFonts w:cs="Segoe UI"/>
                    <w:i/>
                    <w:iCs/>
                    <w:lang w:val="es-CO"/>
                  </w:rPr>
                </w:pPr>
                <w:hyperlink r:id="rId1" w:history="1">
                  <w:r w:rsidRPr="003B5308">
                    <w:rPr>
                      <w:rStyle w:val="Hyperlink"/>
                      <w:rFonts w:cs="Segoe UI"/>
                      <w:i/>
                      <w:iCs/>
                      <w:lang w:val="es-CO"/>
                    </w:rPr>
                    <w:t>www.bizagi.com</w:t>
                  </w:r>
                </w:hyperlink>
              </w:p>
            </w:txbxContent>
          </v:textbox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AE3ACF" w:rsidP="006A5345">
    <w:pPr>
      <w:pStyle w:val="Confidential"/>
      <w:jc w:val="center"/>
    </w:pPr>
    <w:r w:rsidR="00A50009">
      <w:t>www.bizagi.com</w:t>
    </w:r>
    <w:r w:rsidR="00463079">
      <w:t xml:space="preserve">                                          </w:t>
    </w:r>
    <w:r w:rsidR="00A50009">
      <w:t xml:space="preserve">  </w:t>
    </w:r>
    <w:r w:rsidR="00463079">
      <w:t xml:space="preserve">     </w:t>
    </w:r>
    <w:r w:rsidRPr="00463079" w:rsidR="00463079">
      <w:rPr>
        <w:sz w:val="18"/>
        <w:szCs w:val="18"/>
      </w:rPr>
      <w:t>Confidential</w:t>
    </w:r>
    <w:r w:rsidR="00463079">
      <w:t xml:space="preserve">                        </w:t>
    </w:r>
    <w:r w:rsidR="00A50009">
      <w:t xml:space="preserve">                       </w:t>
    </w:r>
    <w:r w:rsidR="00A33804">
      <w:t xml:space="preserve">               </w:t>
    </w:r>
    <w:r w:rsidRPr="00A50009" w:rsidR="00463079">
      <w:rPr>
        <w:i w:val="0"/>
        <w:iCs/>
        <w:sz w:val="18"/>
        <w:szCs w:val="18"/>
      </w:rPr>
      <w:t xml:space="preserve">| </w:t>
    </w:r>
    <w:r w:rsidRPr="00A50009" w:rsidR="00463079">
      <w:rPr>
        <w:i w:val="0"/>
        <w:iCs/>
        <w:sz w:val="18"/>
        <w:szCs w:val="18"/>
      </w:rPr>
      <w:fldChar w:fldCharType="begin"/>
    </w:r>
    <w:r w:rsidRPr="00A50009" w:rsidR="00463079">
      <w:rPr>
        <w:i w:val="0"/>
        <w:iCs/>
        <w:sz w:val="18"/>
        <w:szCs w:val="18"/>
      </w:rPr>
      <w:instrText xml:space="preserve"> PAGE   \* MERGEFORMAT </w:instrText>
    </w:r>
    <w:r w:rsidRPr="00A50009" w:rsidR="00463079">
      <w:rPr>
        <w:i w:val="0"/>
        <w:iCs/>
        <w:sz w:val="18"/>
        <w:szCs w:val="18"/>
      </w:rPr>
      <w:fldChar w:fldCharType="separate"/>
    </w:r>
    <w:r w:rsidR="00032CAE">
      <w:rPr>
        <w:i w:val="0"/>
        <w:iCs/>
        <w:noProof/>
        <w:sz w:val="18"/>
        <w:szCs w:val="18"/>
      </w:rPr>
      <w:t>15</w:t>
    </w:r>
    <w:r w:rsidRPr="00A50009" w:rsidR="00463079">
      <w:rPr>
        <w:i w:val="0"/>
        <w:iCs/>
        <w:noProof/>
        <w:sz w:val="18"/>
        <w:szCs w:val="18"/>
      </w:rP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 w:rsidP="00275F9A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49" type="#_x0000_t75" style="width:168.53pt;height:46.21pt" stroked="f">
          <v:imagedata r:id="rId1" o:title=""/>
        </v:shape>
      </w:pict>
    </w:r>
    <w:r>
      <w:rPr>
        <w:noProof/>
      </w:rPr>
      <w:pict>
        <v:shape id="Picture 18" o:spid="_x0000_s2050" type="#_x0000_t75" style="width:602.95pt;height:432.85pt;margin-top:-35.25pt;margin-left:-84.45pt;mso-height-relative:margin;mso-width-relative:margin;position:absolute;visibility:visible;z-index:-251655168" filled="f" stroked="f">
          <v:imagedata r:id="rId2" o:title=""/>
          <o:lock v:ext="edit" aspectratio="t"/>
        </v:shape>
      </w:pict>
    </w:r>
  </w:p>
  <w:p w:rsidR="00275F9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5F9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03BE" w:rsidRPr="00B603BE">
    <w:pPr>
      <w:pStyle w:val="Header"/>
      <w:rPr>
        <w:lang w:val="es-ES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3" type="#_x0000_t75" style="width:96.61pt;height:26.43pt" stroked="f">
          <v:imagedata r:id="rId1" o:title="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21EE" w:rsidP="001B21EE">
    <w:pPr>
      <w:pStyle w:val="Header"/>
      <w:jc w:val="right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2054" type="#_x0000_t75" style="width:125.48pt;height:45.72pt" stroked="f">
          <v:imagedata r:id="rId1" o:title="bizagiLogo"/>
        </v:shape>
      </w:pict>
    </w:r>
  </w:p>
  <w:p w:rsidR="00275F9A">
    <w:pPr>
      <w:pStyle w:val="Header"/>
    </w:pPr>
    <w:r>
      <w:rPr>
        <w:noProof/>
      </w:rPr>
      <w:pict>
        <v:shape id="_x0000_s2055" type="#_x0000_t75" style="width:376.3pt;height:534.55pt;margin-top:151.95pt;margin-left:-85.4pt;mso-position-horizontal-relative:margin;mso-position-vertical-relative:margin;position:absolute;z-index:-251656192" stroked="f">
          <v:imagedata r:id="rId2" o:title="originalBizagiBackground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D60A4"/>
    <w:multiLevelType w:val="multilevel"/>
    <w:tmpl w:val="D42ACEBE"/>
    <w:numStyleLink w:val="Headings"/>
  </w:abstractNum>
  <w:abstractNum w:abstractNumId="1">
    <w:nsid w:val="0A13321D"/>
    <w:multiLevelType w:val="multilevel"/>
    <w:tmpl w:val="C4520BEC"/>
    <w:lvl w:ilvl="0">
      <w:start w:val="1"/>
      <w:numFmt w:val="decimal"/>
      <w:pStyle w:val="bizHeading1"/>
      <w:lvlText w:val="%1"/>
      <w:lvlJc w:val="left"/>
      <w:pPr>
        <w:tabs>
          <w:tab w:val="num" w:pos="936"/>
        </w:tabs>
        <w:ind w:left="936" w:hanging="432"/>
      </w:pPr>
      <w:rPr>
        <w:rFonts w:hint="default"/>
      </w:rPr>
    </w:lvl>
    <w:lvl w:ilvl="1">
      <w:start w:val="1"/>
      <w:numFmt w:val="decimal"/>
      <w:pStyle w:val="bizHeading2"/>
      <w:lvlText w:val="%1.%2"/>
      <w:lvlJc w:val="left"/>
      <w:pPr>
        <w:tabs>
          <w:tab w:val="num" w:pos="1080"/>
        </w:tabs>
        <w:ind w:left="1080" w:hanging="576"/>
      </w:pPr>
      <w:rPr>
        <w:rFonts w:hint="default"/>
      </w:rPr>
    </w:lvl>
    <w:lvl w:ilvl="2">
      <w:start w:val="1"/>
      <w:numFmt w:val="decimal"/>
      <w:pStyle w:val="bizHeading3"/>
      <w:lvlText w:val="%1.%2.%3"/>
      <w:lvlJc w:val="left"/>
      <w:pPr>
        <w:tabs>
          <w:tab w:val="num" w:pos="1224"/>
        </w:tabs>
        <w:ind w:left="1224" w:hanging="720"/>
      </w:pPr>
      <w:rPr>
        <w:rFonts w:hint="default"/>
      </w:rPr>
    </w:lvl>
    <w:lvl w:ilvl="3">
      <w:start w:val="1"/>
      <w:numFmt w:val="decimal"/>
      <w:pStyle w:val="bizHeading4"/>
      <w:lvlText w:val="%1.%2.%3.%4"/>
      <w:lvlJc w:val="left"/>
      <w:pPr>
        <w:tabs>
          <w:tab w:val="num" w:pos="1368"/>
        </w:tabs>
        <w:ind w:left="1368" w:hanging="864"/>
      </w:pPr>
      <w:rPr>
        <w:rFonts w:hint="default"/>
        <w:b/>
        <w:i w:val="0"/>
        <w:sz w:val="20"/>
        <w:szCs w:val="20"/>
      </w:rPr>
    </w:lvl>
    <w:lvl w:ilvl="4">
      <w:start w:val="1"/>
      <w:numFmt w:val="decimal"/>
      <w:pStyle w:val="bizHeading5"/>
      <w:lvlText w:val="%1.%2.%3.%4.%5"/>
      <w:lvlJc w:val="left"/>
      <w:pPr>
        <w:tabs>
          <w:tab w:val="num" w:pos="1512"/>
        </w:tabs>
        <w:ind w:left="1512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656"/>
        </w:tabs>
        <w:ind w:left="1656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44"/>
        </w:tabs>
        <w:ind w:left="194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088"/>
        </w:tabs>
        <w:ind w:left="2088" w:hanging="1584"/>
      </w:pPr>
      <w:rPr>
        <w:rFonts w:hint="default"/>
      </w:rPr>
    </w:lvl>
  </w:abstractNum>
  <w:abstractNum w:abstractNumId="2">
    <w:nsid w:val="298877DF"/>
    <w:multiLevelType w:val="hybridMultilevel"/>
    <w:tmpl w:val="2FF64D54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194FAE"/>
    <w:multiLevelType w:val="multilevel"/>
    <w:tmpl w:val="D42ACEBE"/>
    <w:numStyleLink w:val="Headings"/>
  </w:abstractNum>
  <w:abstractNum w:abstractNumId="4">
    <w:nsid w:val="44B055A6"/>
    <w:multiLevelType w:val="multilevel"/>
    <w:tmpl w:val="D42ACEBE"/>
    <w:numStyleLink w:val="Headings"/>
  </w:abstractNum>
  <w:abstractNum w:abstractNumId="5">
    <w:nsid w:val="4ACB189B"/>
    <w:multiLevelType w:val="multilevel"/>
    <w:tmpl w:val="35E627E4"/>
    <w:styleLink w:val="Headings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6">
    <w:nsid w:val="4BE02392"/>
    <w:multiLevelType w:val="multilevel"/>
    <w:tmpl w:val="9B52074E"/>
    <w:numStyleLink w:val="Headings"/>
  </w:abstractNum>
  <w:abstractNum w:abstractNumId="7">
    <w:nsid w:val="681C5AA5"/>
    <w:multiLevelType w:val="multilevel"/>
    <w:tmpl w:val="35E627E4"/>
    <w:numStyleLink w:val="Headings"/>
  </w:abstractNum>
  <w:abstractNum w:abstractNumId="8">
    <w:nsid w:val="6A411E3C"/>
    <w:multiLevelType w:val="multilevel"/>
    <w:tmpl w:val="0F742404"/>
    <w:styleLink w:val="Lista1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6BAF63F9"/>
    <w:multiLevelType w:val="hybridMultilevel"/>
    <w:tmpl w:val="0BAADF2C"/>
    <w:lvl w:ilvl="0">
      <w:start w:val="1"/>
      <w:numFmt w:val="decimal"/>
      <w:pStyle w:val="bizHeadingBAS1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EC1314F"/>
    <w:multiLevelType w:val="hybridMultilevel"/>
    <w:tmpl w:val="0F64E4CC"/>
    <w:lvl w:ilvl="0">
      <w:start w:val="1"/>
      <w:numFmt w:val="bullet"/>
      <w:pStyle w:val="ListBullet"/>
      <w:lvlText w:val=""/>
      <w:lvlJc w:val="left"/>
      <w:pPr>
        <w:tabs>
          <w:tab w:val="num" w:pos="144"/>
        </w:tabs>
        <w:ind w:left="288" w:hanging="288"/>
      </w:pPr>
      <w:rPr>
        <w:rFonts w:ascii="Symbol" w:hAnsi="Symbol" w:hint="default"/>
        <w:sz w:val="16"/>
        <w:szCs w:val="16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0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4"/>
  </w:num>
  <w:num w:numId="9">
    <w:abstractNumId w:val="6"/>
  </w:num>
  <w:num w:numId="10">
    <w:abstractNumId w:val="7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F405D"/>
    <w:rsid w:val="000007FB"/>
    <w:rsid w:val="00000F1B"/>
    <w:rsid w:val="00003A15"/>
    <w:rsid w:val="00003D77"/>
    <w:rsid w:val="000074F6"/>
    <w:rsid w:val="00007736"/>
    <w:rsid w:val="00012BBE"/>
    <w:rsid w:val="00014F7C"/>
    <w:rsid w:val="00015341"/>
    <w:rsid w:val="00015ACC"/>
    <w:rsid w:val="00021707"/>
    <w:rsid w:val="0002310C"/>
    <w:rsid w:val="00025BD9"/>
    <w:rsid w:val="0003100E"/>
    <w:rsid w:val="00031F20"/>
    <w:rsid w:val="00032CAE"/>
    <w:rsid w:val="000400C4"/>
    <w:rsid w:val="00056796"/>
    <w:rsid w:val="000606FF"/>
    <w:rsid w:val="00062727"/>
    <w:rsid w:val="00064038"/>
    <w:rsid w:val="00071488"/>
    <w:rsid w:val="000734DA"/>
    <w:rsid w:val="00074D42"/>
    <w:rsid w:val="00074E36"/>
    <w:rsid w:val="000774A1"/>
    <w:rsid w:val="00084110"/>
    <w:rsid w:val="0008686E"/>
    <w:rsid w:val="00086D30"/>
    <w:rsid w:val="0008735C"/>
    <w:rsid w:val="00091358"/>
    <w:rsid w:val="000961EB"/>
    <w:rsid w:val="00097384"/>
    <w:rsid w:val="000B26D6"/>
    <w:rsid w:val="000B2900"/>
    <w:rsid w:val="000B4982"/>
    <w:rsid w:val="000B5018"/>
    <w:rsid w:val="000D0F74"/>
    <w:rsid w:val="000D2ECA"/>
    <w:rsid w:val="000D74E2"/>
    <w:rsid w:val="000E1245"/>
    <w:rsid w:val="000E1F68"/>
    <w:rsid w:val="000E2E00"/>
    <w:rsid w:val="000E4853"/>
    <w:rsid w:val="000E4AD1"/>
    <w:rsid w:val="000F0F39"/>
    <w:rsid w:val="000F5064"/>
    <w:rsid w:val="000F5CBC"/>
    <w:rsid w:val="00105188"/>
    <w:rsid w:val="00105811"/>
    <w:rsid w:val="00107B4C"/>
    <w:rsid w:val="00115201"/>
    <w:rsid w:val="0011555F"/>
    <w:rsid w:val="001244D0"/>
    <w:rsid w:val="00133DB2"/>
    <w:rsid w:val="0014099E"/>
    <w:rsid w:val="0014184E"/>
    <w:rsid w:val="001442E7"/>
    <w:rsid w:val="00146FD2"/>
    <w:rsid w:val="00152EF1"/>
    <w:rsid w:val="00153542"/>
    <w:rsid w:val="00153CDC"/>
    <w:rsid w:val="00154FD3"/>
    <w:rsid w:val="001572C1"/>
    <w:rsid w:val="00160AE1"/>
    <w:rsid w:val="00161BEE"/>
    <w:rsid w:val="001631E2"/>
    <w:rsid w:val="00163F1C"/>
    <w:rsid w:val="00165BDD"/>
    <w:rsid w:val="00167DB2"/>
    <w:rsid w:val="00170E80"/>
    <w:rsid w:val="001745B2"/>
    <w:rsid w:val="00175724"/>
    <w:rsid w:val="00184ACA"/>
    <w:rsid w:val="0018567E"/>
    <w:rsid w:val="001860BF"/>
    <w:rsid w:val="001911EC"/>
    <w:rsid w:val="001967F0"/>
    <w:rsid w:val="001A0D60"/>
    <w:rsid w:val="001A3D5B"/>
    <w:rsid w:val="001B21EE"/>
    <w:rsid w:val="001C22BE"/>
    <w:rsid w:val="001C251F"/>
    <w:rsid w:val="001D335C"/>
    <w:rsid w:val="001D77FC"/>
    <w:rsid w:val="001E527D"/>
    <w:rsid w:val="001E5639"/>
    <w:rsid w:val="001F3B82"/>
    <w:rsid w:val="001F5161"/>
    <w:rsid w:val="001F5727"/>
    <w:rsid w:val="00203170"/>
    <w:rsid w:val="00213E7F"/>
    <w:rsid w:val="0021548A"/>
    <w:rsid w:val="002313AF"/>
    <w:rsid w:val="002431E4"/>
    <w:rsid w:val="00245ACB"/>
    <w:rsid w:val="00245B5B"/>
    <w:rsid w:val="0024677B"/>
    <w:rsid w:val="002501A6"/>
    <w:rsid w:val="0025587E"/>
    <w:rsid w:val="00270F07"/>
    <w:rsid w:val="002732D9"/>
    <w:rsid w:val="0027569B"/>
    <w:rsid w:val="00275F9A"/>
    <w:rsid w:val="002945BF"/>
    <w:rsid w:val="002A1FD5"/>
    <w:rsid w:val="002A3185"/>
    <w:rsid w:val="002B3EFE"/>
    <w:rsid w:val="002B65BB"/>
    <w:rsid w:val="002B7464"/>
    <w:rsid w:val="002B7F64"/>
    <w:rsid w:val="002C4B5D"/>
    <w:rsid w:val="002C6201"/>
    <w:rsid w:val="002D20E4"/>
    <w:rsid w:val="002D6001"/>
    <w:rsid w:val="002D673C"/>
    <w:rsid w:val="002E0F27"/>
    <w:rsid w:val="002E7C7C"/>
    <w:rsid w:val="002F0FB6"/>
    <w:rsid w:val="00305B53"/>
    <w:rsid w:val="00312616"/>
    <w:rsid w:val="003201C8"/>
    <w:rsid w:val="003247EA"/>
    <w:rsid w:val="003263B4"/>
    <w:rsid w:val="00326B56"/>
    <w:rsid w:val="00326F94"/>
    <w:rsid w:val="00330E4C"/>
    <w:rsid w:val="00331169"/>
    <w:rsid w:val="0033261A"/>
    <w:rsid w:val="0033264A"/>
    <w:rsid w:val="00333651"/>
    <w:rsid w:val="00333A43"/>
    <w:rsid w:val="00334236"/>
    <w:rsid w:val="00342534"/>
    <w:rsid w:val="0034294D"/>
    <w:rsid w:val="00344C90"/>
    <w:rsid w:val="00344F17"/>
    <w:rsid w:val="00345DA2"/>
    <w:rsid w:val="00353FC8"/>
    <w:rsid w:val="00362E19"/>
    <w:rsid w:val="0036453B"/>
    <w:rsid w:val="00364B15"/>
    <w:rsid w:val="003715DB"/>
    <w:rsid w:val="00372ED7"/>
    <w:rsid w:val="00376C9A"/>
    <w:rsid w:val="00382F51"/>
    <w:rsid w:val="00384D6B"/>
    <w:rsid w:val="003859E7"/>
    <w:rsid w:val="00393D40"/>
    <w:rsid w:val="003A26CF"/>
    <w:rsid w:val="003A6EDD"/>
    <w:rsid w:val="003B5308"/>
    <w:rsid w:val="003C1C42"/>
    <w:rsid w:val="003D32DA"/>
    <w:rsid w:val="003D699F"/>
    <w:rsid w:val="003D7DE5"/>
    <w:rsid w:val="003E0728"/>
    <w:rsid w:val="003E28A5"/>
    <w:rsid w:val="003E48D4"/>
    <w:rsid w:val="003E5F9A"/>
    <w:rsid w:val="003E7AC4"/>
    <w:rsid w:val="003F36E3"/>
    <w:rsid w:val="0040021E"/>
    <w:rsid w:val="00402100"/>
    <w:rsid w:val="00402D66"/>
    <w:rsid w:val="00414DCE"/>
    <w:rsid w:val="00422C9A"/>
    <w:rsid w:val="004255C7"/>
    <w:rsid w:val="00425E09"/>
    <w:rsid w:val="0043331B"/>
    <w:rsid w:val="00440553"/>
    <w:rsid w:val="00443780"/>
    <w:rsid w:val="00445EDC"/>
    <w:rsid w:val="00447241"/>
    <w:rsid w:val="004478F1"/>
    <w:rsid w:val="00447FB2"/>
    <w:rsid w:val="00450B29"/>
    <w:rsid w:val="00451BB4"/>
    <w:rsid w:val="00456DF1"/>
    <w:rsid w:val="00463079"/>
    <w:rsid w:val="00463FAD"/>
    <w:rsid w:val="00473639"/>
    <w:rsid w:val="0048085A"/>
    <w:rsid w:val="00483741"/>
    <w:rsid w:val="00490365"/>
    <w:rsid w:val="00494A66"/>
    <w:rsid w:val="00497467"/>
    <w:rsid w:val="004A338C"/>
    <w:rsid w:val="004A4250"/>
    <w:rsid w:val="004A5B6B"/>
    <w:rsid w:val="004A7AA5"/>
    <w:rsid w:val="004B411D"/>
    <w:rsid w:val="004B66E5"/>
    <w:rsid w:val="004B6FAB"/>
    <w:rsid w:val="004C1A63"/>
    <w:rsid w:val="004C1B4C"/>
    <w:rsid w:val="004C2A9C"/>
    <w:rsid w:val="004C30E2"/>
    <w:rsid w:val="004C536F"/>
    <w:rsid w:val="004D16DF"/>
    <w:rsid w:val="004D7B3B"/>
    <w:rsid w:val="004F1444"/>
    <w:rsid w:val="004F48B3"/>
    <w:rsid w:val="00500120"/>
    <w:rsid w:val="005012CE"/>
    <w:rsid w:val="00503EE8"/>
    <w:rsid w:val="00503FF1"/>
    <w:rsid w:val="00507477"/>
    <w:rsid w:val="00527129"/>
    <w:rsid w:val="00534239"/>
    <w:rsid w:val="0053486F"/>
    <w:rsid w:val="00535E45"/>
    <w:rsid w:val="00540156"/>
    <w:rsid w:val="005402E4"/>
    <w:rsid w:val="005529B3"/>
    <w:rsid w:val="00554DC9"/>
    <w:rsid w:val="005624B2"/>
    <w:rsid w:val="00562BBE"/>
    <w:rsid w:val="005640C6"/>
    <w:rsid w:val="005676E5"/>
    <w:rsid w:val="00572CD1"/>
    <w:rsid w:val="00574F23"/>
    <w:rsid w:val="00576752"/>
    <w:rsid w:val="005868D8"/>
    <w:rsid w:val="00587ADF"/>
    <w:rsid w:val="00591299"/>
    <w:rsid w:val="00591489"/>
    <w:rsid w:val="005A5202"/>
    <w:rsid w:val="005A70BD"/>
    <w:rsid w:val="005B1D20"/>
    <w:rsid w:val="005B230C"/>
    <w:rsid w:val="005D0836"/>
    <w:rsid w:val="005D0FE7"/>
    <w:rsid w:val="005D720A"/>
    <w:rsid w:val="005E21A4"/>
    <w:rsid w:val="005E31F9"/>
    <w:rsid w:val="005F3913"/>
    <w:rsid w:val="005F3E2D"/>
    <w:rsid w:val="005F683B"/>
    <w:rsid w:val="005F6D8C"/>
    <w:rsid w:val="00603E0F"/>
    <w:rsid w:val="0060571A"/>
    <w:rsid w:val="006128B8"/>
    <w:rsid w:val="00613750"/>
    <w:rsid w:val="006258E4"/>
    <w:rsid w:val="00630DDB"/>
    <w:rsid w:val="00636FCF"/>
    <w:rsid w:val="006406AE"/>
    <w:rsid w:val="006439D7"/>
    <w:rsid w:val="00645AD4"/>
    <w:rsid w:val="00646A59"/>
    <w:rsid w:val="006478FA"/>
    <w:rsid w:val="0066431A"/>
    <w:rsid w:val="00670E18"/>
    <w:rsid w:val="006726D2"/>
    <w:rsid w:val="00673AA0"/>
    <w:rsid w:val="00680CF5"/>
    <w:rsid w:val="00682B73"/>
    <w:rsid w:val="00682EC2"/>
    <w:rsid w:val="006871AC"/>
    <w:rsid w:val="00692B0C"/>
    <w:rsid w:val="0069526B"/>
    <w:rsid w:val="006958E0"/>
    <w:rsid w:val="0069770B"/>
    <w:rsid w:val="006A01F4"/>
    <w:rsid w:val="006A5345"/>
    <w:rsid w:val="006B0908"/>
    <w:rsid w:val="006C2187"/>
    <w:rsid w:val="006C5BC9"/>
    <w:rsid w:val="006E0689"/>
    <w:rsid w:val="006E2B36"/>
    <w:rsid w:val="006F44CE"/>
    <w:rsid w:val="006F6461"/>
    <w:rsid w:val="00703508"/>
    <w:rsid w:val="0070473B"/>
    <w:rsid w:val="0070512E"/>
    <w:rsid w:val="00705381"/>
    <w:rsid w:val="007056B0"/>
    <w:rsid w:val="00711AA1"/>
    <w:rsid w:val="00714B19"/>
    <w:rsid w:val="00722BDE"/>
    <w:rsid w:val="0073310A"/>
    <w:rsid w:val="00734243"/>
    <w:rsid w:val="00743611"/>
    <w:rsid w:val="00753E90"/>
    <w:rsid w:val="00760E2F"/>
    <w:rsid w:val="00773DEB"/>
    <w:rsid w:val="007741DF"/>
    <w:rsid w:val="00774636"/>
    <w:rsid w:val="00781243"/>
    <w:rsid w:val="0078732B"/>
    <w:rsid w:val="00787DA9"/>
    <w:rsid w:val="00787E0A"/>
    <w:rsid w:val="007914C6"/>
    <w:rsid w:val="007A2CFF"/>
    <w:rsid w:val="007B3313"/>
    <w:rsid w:val="007B663B"/>
    <w:rsid w:val="007C4D01"/>
    <w:rsid w:val="007C5A5C"/>
    <w:rsid w:val="007D4C61"/>
    <w:rsid w:val="007D63D4"/>
    <w:rsid w:val="007E50A6"/>
    <w:rsid w:val="007E6FC5"/>
    <w:rsid w:val="007E7B92"/>
    <w:rsid w:val="007F20AE"/>
    <w:rsid w:val="007F5560"/>
    <w:rsid w:val="00803056"/>
    <w:rsid w:val="00805CF9"/>
    <w:rsid w:val="00810B05"/>
    <w:rsid w:val="00820B48"/>
    <w:rsid w:val="00823735"/>
    <w:rsid w:val="00823FEB"/>
    <w:rsid w:val="008261D1"/>
    <w:rsid w:val="0082646C"/>
    <w:rsid w:val="00830C0D"/>
    <w:rsid w:val="0083534E"/>
    <w:rsid w:val="00840511"/>
    <w:rsid w:val="008416BE"/>
    <w:rsid w:val="008426A8"/>
    <w:rsid w:val="00843316"/>
    <w:rsid w:val="00846E73"/>
    <w:rsid w:val="00854218"/>
    <w:rsid w:val="008606E1"/>
    <w:rsid w:val="00862648"/>
    <w:rsid w:val="00865284"/>
    <w:rsid w:val="00876E5D"/>
    <w:rsid w:val="00885444"/>
    <w:rsid w:val="00885706"/>
    <w:rsid w:val="008869C4"/>
    <w:rsid w:val="00890369"/>
    <w:rsid w:val="00891880"/>
    <w:rsid w:val="00897789"/>
    <w:rsid w:val="008A015E"/>
    <w:rsid w:val="008A06D1"/>
    <w:rsid w:val="008B0CB5"/>
    <w:rsid w:val="008B780C"/>
    <w:rsid w:val="008C074A"/>
    <w:rsid w:val="008C2240"/>
    <w:rsid w:val="008C2CEA"/>
    <w:rsid w:val="008C6778"/>
    <w:rsid w:val="008D2D31"/>
    <w:rsid w:val="008D537D"/>
    <w:rsid w:val="008D7250"/>
    <w:rsid w:val="008E1BD1"/>
    <w:rsid w:val="008F524D"/>
    <w:rsid w:val="008F5647"/>
    <w:rsid w:val="00913444"/>
    <w:rsid w:val="00914BC2"/>
    <w:rsid w:val="00923871"/>
    <w:rsid w:val="00931B93"/>
    <w:rsid w:val="0093251F"/>
    <w:rsid w:val="00933901"/>
    <w:rsid w:val="009360A9"/>
    <w:rsid w:val="00943A19"/>
    <w:rsid w:val="00953102"/>
    <w:rsid w:val="009532B2"/>
    <w:rsid w:val="00955DC1"/>
    <w:rsid w:val="0097351B"/>
    <w:rsid w:val="00974798"/>
    <w:rsid w:val="00983916"/>
    <w:rsid w:val="00984E7D"/>
    <w:rsid w:val="009854E2"/>
    <w:rsid w:val="00986AFA"/>
    <w:rsid w:val="00995FDF"/>
    <w:rsid w:val="009A4204"/>
    <w:rsid w:val="009A6F62"/>
    <w:rsid w:val="009B7DFE"/>
    <w:rsid w:val="009C06B5"/>
    <w:rsid w:val="009C1220"/>
    <w:rsid w:val="009C2C93"/>
    <w:rsid w:val="009C5494"/>
    <w:rsid w:val="009C72BB"/>
    <w:rsid w:val="009F1800"/>
    <w:rsid w:val="009F5920"/>
    <w:rsid w:val="009F7A0D"/>
    <w:rsid w:val="00A07A8E"/>
    <w:rsid w:val="00A07FA6"/>
    <w:rsid w:val="00A13634"/>
    <w:rsid w:val="00A2192D"/>
    <w:rsid w:val="00A221E1"/>
    <w:rsid w:val="00A262B2"/>
    <w:rsid w:val="00A33804"/>
    <w:rsid w:val="00A363ED"/>
    <w:rsid w:val="00A374BC"/>
    <w:rsid w:val="00A40C1F"/>
    <w:rsid w:val="00A47B9C"/>
    <w:rsid w:val="00A50009"/>
    <w:rsid w:val="00A50CAC"/>
    <w:rsid w:val="00A52BFA"/>
    <w:rsid w:val="00A55D18"/>
    <w:rsid w:val="00A576B2"/>
    <w:rsid w:val="00A6077A"/>
    <w:rsid w:val="00A61739"/>
    <w:rsid w:val="00A65310"/>
    <w:rsid w:val="00A66741"/>
    <w:rsid w:val="00A6763D"/>
    <w:rsid w:val="00A74F07"/>
    <w:rsid w:val="00A8200B"/>
    <w:rsid w:val="00A8255E"/>
    <w:rsid w:val="00A85F1E"/>
    <w:rsid w:val="00A87182"/>
    <w:rsid w:val="00A9061A"/>
    <w:rsid w:val="00A919BB"/>
    <w:rsid w:val="00A9206B"/>
    <w:rsid w:val="00A9312C"/>
    <w:rsid w:val="00A93B0A"/>
    <w:rsid w:val="00A9667F"/>
    <w:rsid w:val="00AA11B9"/>
    <w:rsid w:val="00AA2266"/>
    <w:rsid w:val="00AA5EEB"/>
    <w:rsid w:val="00AB17F0"/>
    <w:rsid w:val="00AB2CF3"/>
    <w:rsid w:val="00AB2F59"/>
    <w:rsid w:val="00AB621F"/>
    <w:rsid w:val="00AC0BD3"/>
    <w:rsid w:val="00AC14E6"/>
    <w:rsid w:val="00AC1C30"/>
    <w:rsid w:val="00AC3C64"/>
    <w:rsid w:val="00AC49CB"/>
    <w:rsid w:val="00AC4FAE"/>
    <w:rsid w:val="00AC5F01"/>
    <w:rsid w:val="00AD2B07"/>
    <w:rsid w:val="00AD7061"/>
    <w:rsid w:val="00AE1DA8"/>
    <w:rsid w:val="00AE2294"/>
    <w:rsid w:val="00AE2D90"/>
    <w:rsid w:val="00AE3ACF"/>
    <w:rsid w:val="00AF0F8A"/>
    <w:rsid w:val="00AF405D"/>
    <w:rsid w:val="00B040C4"/>
    <w:rsid w:val="00B0626C"/>
    <w:rsid w:val="00B117B7"/>
    <w:rsid w:val="00B1222D"/>
    <w:rsid w:val="00B1429E"/>
    <w:rsid w:val="00B16DFD"/>
    <w:rsid w:val="00B22967"/>
    <w:rsid w:val="00B23D9C"/>
    <w:rsid w:val="00B33A67"/>
    <w:rsid w:val="00B3418D"/>
    <w:rsid w:val="00B36D0B"/>
    <w:rsid w:val="00B3758D"/>
    <w:rsid w:val="00B452F9"/>
    <w:rsid w:val="00B51285"/>
    <w:rsid w:val="00B531D8"/>
    <w:rsid w:val="00B54298"/>
    <w:rsid w:val="00B603BE"/>
    <w:rsid w:val="00B6080A"/>
    <w:rsid w:val="00B679EC"/>
    <w:rsid w:val="00B76981"/>
    <w:rsid w:val="00B83DCF"/>
    <w:rsid w:val="00B87B02"/>
    <w:rsid w:val="00B97928"/>
    <w:rsid w:val="00BC1CCA"/>
    <w:rsid w:val="00BC2FC0"/>
    <w:rsid w:val="00BC3029"/>
    <w:rsid w:val="00BC532D"/>
    <w:rsid w:val="00BD71BF"/>
    <w:rsid w:val="00BE42AC"/>
    <w:rsid w:val="00BE7281"/>
    <w:rsid w:val="00BF1BBD"/>
    <w:rsid w:val="00C02ED2"/>
    <w:rsid w:val="00C239E1"/>
    <w:rsid w:val="00C30B19"/>
    <w:rsid w:val="00C3181A"/>
    <w:rsid w:val="00C357F7"/>
    <w:rsid w:val="00C43BBD"/>
    <w:rsid w:val="00C45896"/>
    <w:rsid w:val="00C51DA3"/>
    <w:rsid w:val="00C52FB5"/>
    <w:rsid w:val="00C53A1D"/>
    <w:rsid w:val="00C5440E"/>
    <w:rsid w:val="00C547E1"/>
    <w:rsid w:val="00C55278"/>
    <w:rsid w:val="00C60046"/>
    <w:rsid w:val="00C624DC"/>
    <w:rsid w:val="00C63FE5"/>
    <w:rsid w:val="00C642B2"/>
    <w:rsid w:val="00C7009A"/>
    <w:rsid w:val="00C71EF7"/>
    <w:rsid w:val="00C72EA3"/>
    <w:rsid w:val="00C73FAC"/>
    <w:rsid w:val="00C83A4B"/>
    <w:rsid w:val="00C84A64"/>
    <w:rsid w:val="00C949BC"/>
    <w:rsid w:val="00CA03F0"/>
    <w:rsid w:val="00CA0E09"/>
    <w:rsid w:val="00CA269A"/>
    <w:rsid w:val="00CA3F8A"/>
    <w:rsid w:val="00CB7BC6"/>
    <w:rsid w:val="00CC0596"/>
    <w:rsid w:val="00CC423C"/>
    <w:rsid w:val="00CC4BD9"/>
    <w:rsid w:val="00CD13A8"/>
    <w:rsid w:val="00CD1D66"/>
    <w:rsid w:val="00CD5D29"/>
    <w:rsid w:val="00CD6444"/>
    <w:rsid w:val="00CD7DF9"/>
    <w:rsid w:val="00CE7D6F"/>
    <w:rsid w:val="00CF068B"/>
    <w:rsid w:val="00CF394B"/>
    <w:rsid w:val="00CF449C"/>
    <w:rsid w:val="00CF6D90"/>
    <w:rsid w:val="00CF744F"/>
    <w:rsid w:val="00D00E81"/>
    <w:rsid w:val="00D03D21"/>
    <w:rsid w:val="00D03F58"/>
    <w:rsid w:val="00D06536"/>
    <w:rsid w:val="00D100AA"/>
    <w:rsid w:val="00D10748"/>
    <w:rsid w:val="00D142FB"/>
    <w:rsid w:val="00D14752"/>
    <w:rsid w:val="00D16747"/>
    <w:rsid w:val="00D17132"/>
    <w:rsid w:val="00D2128A"/>
    <w:rsid w:val="00D3218B"/>
    <w:rsid w:val="00D32603"/>
    <w:rsid w:val="00D327C6"/>
    <w:rsid w:val="00D33BAA"/>
    <w:rsid w:val="00D37268"/>
    <w:rsid w:val="00D37C8C"/>
    <w:rsid w:val="00D4476F"/>
    <w:rsid w:val="00D55DAB"/>
    <w:rsid w:val="00D55F51"/>
    <w:rsid w:val="00D57EF2"/>
    <w:rsid w:val="00D610E6"/>
    <w:rsid w:val="00D6529A"/>
    <w:rsid w:val="00D65A66"/>
    <w:rsid w:val="00D815A8"/>
    <w:rsid w:val="00D95D67"/>
    <w:rsid w:val="00DA3A79"/>
    <w:rsid w:val="00DA3C7A"/>
    <w:rsid w:val="00DA5550"/>
    <w:rsid w:val="00DB1766"/>
    <w:rsid w:val="00DB201A"/>
    <w:rsid w:val="00DB36AC"/>
    <w:rsid w:val="00DB73E8"/>
    <w:rsid w:val="00DC4218"/>
    <w:rsid w:val="00DD1F3A"/>
    <w:rsid w:val="00DD4909"/>
    <w:rsid w:val="00DD74F7"/>
    <w:rsid w:val="00DF6638"/>
    <w:rsid w:val="00DF74EC"/>
    <w:rsid w:val="00E00DE0"/>
    <w:rsid w:val="00E07B66"/>
    <w:rsid w:val="00E23E4D"/>
    <w:rsid w:val="00E25804"/>
    <w:rsid w:val="00E259F7"/>
    <w:rsid w:val="00E266FC"/>
    <w:rsid w:val="00E30D39"/>
    <w:rsid w:val="00E3338A"/>
    <w:rsid w:val="00E3617B"/>
    <w:rsid w:val="00E366FB"/>
    <w:rsid w:val="00E41A0B"/>
    <w:rsid w:val="00E42B39"/>
    <w:rsid w:val="00E46ACA"/>
    <w:rsid w:val="00E52327"/>
    <w:rsid w:val="00E53183"/>
    <w:rsid w:val="00E564AF"/>
    <w:rsid w:val="00E57DBB"/>
    <w:rsid w:val="00E60254"/>
    <w:rsid w:val="00E63153"/>
    <w:rsid w:val="00E705CD"/>
    <w:rsid w:val="00E7090D"/>
    <w:rsid w:val="00E751A7"/>
    <w:rsid w:val="00E76C13"/>
    <w:rsid w:val="00E77951"/>
    <w:rsid w:val="00E80344"/>
    <w:rsid w:val="00E823BD"/>
    <w:rsid w:val="00E82488"/>
    <w:rsid w:val="00E82879"/>
    <w:rsid w:val="00E86820"/>
    <w:rsid w:val="00E86BBA"/>
    <w:rsid w:val="00E87698"/>
    <w:rsid w:val="00E91938"/>
    <w:rsid w:val="00E95040"/>
    <w:rsid w:val="00E95647"/>
    <w:rsid w:val="00E957D1"/>
    <w:rsid w:val="00E96FED"/>
    <w:rsid w:val="00EA2ED4"/>
    <w:rsid w:val="00EA3463"/>
    <w:rsid w:val="00EA36BE"/>
    <w:rsid w:val="00EA5373"/>
    <w:rsid w:val="00EB171C"/>
    <w:rsid w:val="00EC336A"/>
    <w:rsid w:val="00EC54AD"/>
    <w:rsid w:val="00EC57FE"/>
    <w:rsid w:val="00EC5F8C"/>
    <w:rsid w:val="00ED01ED"/>
    <w:rsid w:val="00ED12B5"/>
    <w:rsid w:val="00ED24DA"/>
    <w:rsid w:val="00ED41B2"/>
    <w:rsid w:val="00ED5A00"/>
    <w:rsid w:val="00EE207F"/>
    <w:rsid w:val="00EF0ABC"/>
    <w:rsid w:val="00EF5329"/>
    <w:rsid w:val="00EF584F"/>
    <w:rsid w:val="00EF675A"/>
    <w:rsid w:val="00F01FF6"/>
    <w:rsid w:val="00F02ABC"/>
    <w:rsid w:val="00F03869"/>
    <w:rsid w:val="00F05139"/>
    <w:rsid w:val="00F05C3B"/>
    <w:rsid w:val="00F05CA3"/>
    <w:rsid w:val="00F100E3"/>
    <w:rsid w:val="00F10A5E"/>
    <w:rsid w:val="00F11476"/>
    <w:rsid w:val="00F12F11"/>
    <w:rsid w:val="00F261EB"/>
    <w:rsid w:val="00F32CE0"/>
    <w:rsid w:val="00F35AB0"/>
    <w:rsid w:val="00F40119"/>
    <w:rsid w:val="00F632C6"/>
    <w:rsid w:val="00F71427"/>
    <w:rsid w:val="00F74035"/>
    <w:rsid w:val="00F74E9E"/>
    <w:rsid w:val="00F74FC2"/>
    <w:rsid w:val="00F829DE"/>
    <w:rsid w:val="00F86C7F"/>
    <w:rsid w:val="00F94FFC"/>
    <w:rsid w:val="00F95652"/>
    <w:rsid w:val="00FB7EAB"/>
    <w:rsid w:val="00FC763C"/>
    <w:rsid w:val="00FD0416"/>
    <w:rsid w:val="00FD2EB6"/>
    <w:rsid w:val="00FD61CA"/>
    <w:rsid w:val="00FE6CA5"/>
    <w:rsid w:val="00FF11B5"/>
    <w:rsid w:val="00FF6AD8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39" w:unhideWhenUsed="0"/>
    <w:lsdException w:name="toc 5" w:semiHidden="0" w:uiPriority="0" w:unhideWhenUsed="0"/>
    <w:lsdException w:name="toc 6" w:semiHidden="0" w:uiPriority="39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1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1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11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nhideWhenUsed="0"/>
    <w:lsdException w:name="Table Grid" w:semiHidden="0" w:uiPriority="59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sid w:val="00E41A0B"/>
    <w:pPr>
      <w:spacing w:after="200" w:line="276" w:lineRule="auto"/>
    </w:pPr>
    <w:rPr>
      <w:rFonts w:ascii="Segoe UI" w:eastAsia="Calibri" w:hAnsi="Segoe UI"/>
      <w:color w:val="595959"/>
      <w:szCs w:val="22"/>
      <w:lang w:val="en-US" w:eastAsia="en-US" w:bidi="ar-SA"/>
    </w:rPr>
  </w:style>
  <w:style w:type="paragraph" w:styleId="Heading1">
    <w:name w:val="heading 1"/>
    <w:next w:val="Normal"/>
    <w:link w:val="Ttulo1Car"/>
    <w:uiPriority w:val="9"/>
    <w:qFormat/>
    <w:rsid w:val="00E41A0B"/>
    <w:pPr>
      <w:autoSpaceDE w:val="0"/>
      <w:autoSpaceDN w:val="0"/>
      <w:adjustRightInd w:val="0"/>
      <w:spacing w:after="80"/>
      <w:outlineLvl w:val="0"/>
    </w:pPr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Heading2">
    <w:name w:val="heading 2"/>
    <w:basedOn w:val="Normal"/>
    <w:next w:val="Normal"/>
    <w:link w:val="Ttulo2Car"/>
    <w:uiPriority w:val="9"/>
    <w:qFormat/>
    <w:rsid w:val="00E41A0B"/>
    <w:pPr>
      <w:autoSpaceDE w:val="0"/>
      <w:autoSpaceDN w:val="0"/>
      <w:adjustRightInd w:val="0"/>
      <w:spacing w:line="240" w:lineRule="auto"/>
      <w:outlineLvl w:val="1"/>
    </w:pPr>
    <w:rPr>
      <w:rFonts w:ascii="Neo Sans Std" w:eastAsia="Times New Roman" w:hAnsi="Neo Sans Std" w:cs="Arial"/>
      <w:color w:val="2E5E88"/>
      <w:sz w:val="34"/>
      <w:szCs w:val="32"/>
    </w:rPr>
  </w:style>
  <w:style w:type="paragraph" w:styleId="Heading3">
    <w:name w:val="heading 3"/>
    <w:basedOn w:val="Normal"/>
    <w:next w:val="Normal"/>
    <w:link w:val="Ttulo3Car"/>
    <w:uiPriority w:val="9"/>
    <w:qFormat/>
    <w:rsid w:val="00E41A0B"/>
    <w:pPr>
      <w:keepNext/>
      <w:spacing w:before="240" w:after="240" w:line="260" w:lineRule="exact"/>
      <w:outlineLvl w:val="2"/>
    </w:pPr>
    <w:rPr>
      <w:rFonts w:ascii="Neo Sans Std" w:eastAsia="Times New Roman" w:hAnsi="Neo Sans Std" w:cs="Arial"/>
      <w:bCs/>
      <w:color w:val="548DD4"/>
      <w:sz w:val="26"/>
      <w:szCs w:val="26"/>
    </w:rPr>
  </w:style>
  <w:style w:type="paragraph" w:styleId="Heading4">
    <w:name w:val="heading 4"/>
    <w:next w:val="Normal"/>
    <w:link w:val="Ttulo4Car"/>
    <w:uiPriority w:val="9"/>
    <w:unhideWhenUsed/>
    <w:qFormat/>
    <w:rsid w:val="00E41A0B"/>
    <w:pPr>
      <w:keepLines/>
      <w:spacing w:before="200" w:after="200"/>
      <w:outlineLvl w:val="3"/>
    </w:pPr>
    <w:rPr>
      <w:rFonts w:ascii="Aller" w:hAnsi="Aller"/>
      <w:iCs/>
      <w:color w:val="7F7F7F"/>
      <w:sz w:val="24"/>
      <w:szCs w:val="26"/>
      <w:lang w:val="en-US" w:eastAsia="en-US" w:bidi="ar-SA"/>
    </w:rPr>
  </w:style>
  <w:style w:type="paragraph" w:styleId="Heading5">
    <w:name w:val="heading 5"/>
    <w:next w:val="Normal"/>
    <w:link w:val="Ttulo5Car"/>
    <w:uiPriority w:val="9"/>
    <w:unhideWhenUsed/>
    <w:qFormat/>
    <w:rsid w:val="00E41A0B"/>
    <w:pPr>
      <w:keepLines/>
      <w:spacing w:before="200" w:after="200"/>
      <w:outlineLvl w:val="4"/>
    </w:pPr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styleId="Heading6">
    <w:name w:val="heading 6"/>
    <w:next w:val="Normal"/>
    <w:link w:val="Ttulo6Car"/>
    <w:uiPriority w:val="9"/>
    <w:unhideWhenUsed/>
    <w:qFormat/>
    <w:rsid w:val="00E41A0B"/>
    <w:pPr>
      <w:keepLines/>
      <w:numPr>
        <w:ilvl w:val="5"/>
        <w:numId w:val="4"/>
      </w:numPr>
      <w:spacing w:before="200" w:after="200"/>
      <w:outlineLvl w:val="5"/>
    </w:pPr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styleId="Heading7">
    <w:name w:val="heading 7"/>
    <w:basedOn w:val="Normal"/>
    <w:next w:val="Normal"/>
    <w:qFormat/>
    <w:rsid w:val="00885706"/>
    <w:pPr>
      <w:spacing w:before="240" w:after="60"/>
      <w:outlineLvl w:val="6"/>
    </w:pPr>
    <w:rPr>
      <w:rFonts w:ascii="Times New Roman" w:hAnsi="Times New Roman"/>
      <w:sz w:val="24"/>
      <w:szCs w:val="24"/>
    </w:rPr>
  </w:style>
  <w:style w:type="paragraph" w:styleId="Heading8">
    <w:name w:val="heading 8"/>
    <w:basedOn w:val="Normal"/>
    <w:next w:val="Normal"/>
    <w:qFormat/>
    <w:rsid w:val="00885706"/>
    <w:pPr>
      <w:spacing w:before="240" w:after="60"/>
      <w:outlineLvl w:val="7"/>
    </w:pPr>
    <w:rPr>
      <w:rFonts w:ascii="Times New Roman" w:hAnsi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88570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unhideWhenUsed/>
    <w:rsid w:val="00E41A0B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E41A0B"/>
  </w:style>
  <w:style w:type="character" w:customStyle="1" w:styleId="Ttulo1Car">
    <w:name w:val="Título 1 Car"/>
    <w:link w:val="Heading1"/>
    <w:uiPriority w:val="9"/>
    <w:rsid w:val="00E41A0B"/>
    <w:rPr>
      <w:rFonts w:ascii="Neo Sans Std" w:hAnsi="Neo Sans Std" w:cs="Arial"/>
      <w:color w:val="1A2A44"/>
      <w:sz w:val="44"/>
      <w:szCs w:val="44"/>
      <w:lang w:val="en-US" w:eastAsia="en-US" w:bidi="ar-SA"/>
    </w:rPr>
  </w:style>
  <w:style w:type="paragraph" w:styleId="TOC1">
    <w:name w:val="toc 1"/>
    <w:basedOn w:val="ModelerNormal"/>
    <w:next w:val="ModelerNormal"/>
    <w:autoRedefine/>
    <w:rsid w:val="00E41A0B"/>
    <w:pPr>
      <w:spacing w:before="120" w:after="0" w:line="240" w:lineRule="auto"/>
    </w:pPr>
    <w:rPr>
      <w:rFonts w:eastAsia="Times New Roman"/>
      <w:caps/>
      <w:color w:val="auto"/>
      <w:szCs w:val="20"/>
      <w:lang w:val="es-ES_tradnl" w:eastAsia="es-ES"/>
    </w:rPr>
  </w:style>
  <w:style w:type="paragraph" w:styleId="TOC2">
    <w:name w:val="toc 2"/>
    <w:basedOn w:val="ModelerNormal"/>
    <w:next w:val="ModelerNormal"/>
    <w:autoRedefine/>
    <w:rsid w:val="00E41A0B"/>
    <w:pPr>
      <w:tabs>
        <w:tab w:val="right" w:leader="dot" w:pos="8828"/>
      </w:tabs>
      <w:spacing w:after="0" w:line="240" w:lineRule="auto"/>
      <w:ind w:left="198"/>
      <w:jc w:val="both"/>
    </w:pPr>
    <w:rPr>
      <w:rFonts w:eastAsia="Times New Roman"/>
      <w:smallCaps/>
      <w:color w:val="auto"/>
      <w:szCs w:val="20"/>
      <w:lang w:eastAsia="es-ES"/>
    </w:rPr>
  </w:style>
  <w:style w:type="paragraph" w:styleId="TOC3">
    <w:name w:val="toc 3"/>
    <w:basedOn w:val="ModelerNormal"/>
    <w:next w:val="ModelerNormal"/>
    <w:autoRedefine/>
    <w:rsid w:val="00E41A0B"/>
    <w:pPr>
      <w:tabs>
        <w:tab w:val="left" w:pos="1321"/>
        <w:tab w:val="right" w:leader="dot" w:pos="8828"/>
      </w:tabs>
      <w:spacing w:after="0" w:line="240" w:lineRule="auto"/>
      <w:ind w:left="403"/>
      <w:jc w:val="both"/>
    </w:pPr>
    <w:rPr>
      <w:rFonts w:eastAsia="Times New Roman"/>
      <w:noProof/>
      <w:color w:val="000000"/>
      <w:szCs w:val="20"/>
      <w:lang w:val="es-ES" w:eastAsia="es-ES"/>
    </w:rPr>
  </w:style>
  <w:style w:type="character" w:styleId="Hyperlink">
    <w:name w:val="Hyperlink"/>
    <w:uiPriority w:val="99"/>
    <w:unhideWhenUsed/>
    <w:rsid w:val="00E41A0B"/>
    <w:rPr>
      <w:rFonts w:ascii="Segoe UI" w:hAnsi="Segoe UI"/>
      <w:color w:val="0000FF"/>
      <w:u w:val="single"/>
    </w:rPr>
  </w:style>
  <w:style w:type="paragraph" w:styleId="Header">
    <w:name w:val="header"/>
    <w:basedOn w:val="Normal"/>
    <w:link w:val="EncabezadoCar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paragraph" w:styleId="Footer">
    <w:name w:val="footer"/>
    <w:basedOn w:val="Normal"/>
    <w:link w:val="PiedepginaCar"/>
    <w:uiPriority w:val="99"/>
    <w:unhideWhenUsed/>
    <w:rsid w:val="00E41A0B"/>
    <w:pPr>
      <w:tabs>
        <w:tab w:val="center" w:pos="4419"/>
        <w:tab w:val="right" w:pos="8838"/>
      </w:tabs>
      <w:spacing w:after="0" w:line="240" w:lineRule="auto"/>
    </w:pPr>
  </w:style>
  <w:style w:type="character" w:styleId="PageNumber">
    <w:name w:val="page number"/>
    <w:basedOn w:val="DefaultParagraphFont"/>
    <w:rsid w:val="00A55D18"/>
  </w:style>
  <w:style w:type="paragraph" w:customStyle="1" w:styleId="Titular">
    <w:name w:val="Titular"/>
    <w:basedOn w:val="Heading1"/>
    <w:link w:val="TitularChar"/>
    <w:semiHidden/>
    <w:rsid w:val="00A55D18"/>
    <w:rPr>
      <w:color w:val="333333"/>
    </w:rPr>
  </w:style>
  <w:style w:type="character" w:customStyle="1" w:styleId="TitularChar">
    <w:name w:val="Titular Char"/>
    <w:link w:val="Titular"/>
    <w:semiHidden/>
    <w:rsid w:val="00A55D18"/>
    <w:rPr>
      <w:rFonts w:ascii="Neo Sans Std" w:hAnsi="Neo Sans Std" w:cs="Arial"/>
      <w:color w:val="333333"/>
      <w:sz w:val="44"/>
      <w:szCs w:val="44"/>
      <w:lang w:val="en-US" w:eastAsia="en-US" w:bidi="ar-SA"/>
    </w:rPr>
  </w:style>
  <w:style w:type="paragraph" w:styleId="BodyText">
    <w:name w:val="Body Text"/>
    <w:basedOn w:val="Normal"/>
    <w:link w:val="TextoindependienteCar"/>
    <w:rsid w:val="00E41A0B"/>
    <w:pPr>
      <w:spacing w:line="240" w:lineRule="auto"/>
      <w:ind w:left="634"/>
    </w:pPr>
    <w:rPr>
      <w:rFonts w:eastAsia="Times New Roman"/>
      <w:szCs w:val="20"/>
    </w:rPr>
  </w:style>
  <w:style w:type="table" w:styleId="TableGrid">
    <w:name w:val="Table Grid"/>
    <w:basedOn w:val="TableNormal"/>
    <w:uiPriority w:val="59"/>
    <w:rsid w:val="00E41A0B"/>
    <w:rPr>
      <w:rFonts w:ascii="Century Gothic" w:hAnsi="Century Gothic"/>
    </w:rPr>
    <w:tblPr>
      <w:tblInd w:w="1008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4" w:space="0" w:color="C0C0C0"/>
        <w:insideV w:val="single" w:sz="4" w:space="0" w:color="C0C0C0"/>
      </w:tblBorders>
    </w:tblPr>
    <w:tcPr>
      <w:shd w:val="clear" w:color="auto" w:fill="auto"/>
    </w:tcPr>
  </w:style>
  <w:style w:type="paragraph" w:styleId="FootnoteText">
    <w:name w:val="footnote text"/>
    <w:basedOn w:val="Normal"/>
    <w:semiHidden/>
    <w:rsid w:val="00AE3ACF"/>
  </w:style>
  <w:style w:type="character" w:styleId="FootnoteReference">
    <w:name w:val="footnote reference"/>
    <w:semiHidden/>
    <w:rsid w:val="00AE3ACF"/>
    <w:rPr>
      <w:vertAlign w:val="superscript"/>
    </w:rPr>
  </w:style>
  <w:style w:type="paragraph" w:customStyle="1" w:styleId="StyleTitularBold">
    <w:name w:val="Style Titular + Bold"/>
    <w:basedOn w:val="Titular"/>
    <w:autoRedefine/>
    <w:rsid w:val="008C2CEA"/>
    <w:rPr>
      <w:b/>
      <w:bCs/>
      <w:iCs/>
      <w:szCs w:val="40"/>
    </w:rPr>
  </w:style>
  <w:style w:type="paragraph" w:customStyle="1" w:styleId="Aviso">
    <w:name w:val="Aviso"/>
    <w:basedOn w:val="Normal"/>
    <w:autoRedefine/>
    <w:rsid w:val="0033264A"/>
    <w:pPr>
      <w:spacing w:before="0"/>
      <w:jc w:val="left"/>
    </w:pPr>
    <w:rPr>
      <w:b/>
      <w:sz w:val="15"/>
      <w:szCs w:val="15"/>
      <w:lang w:val="es-ES_tradnl"/>
    </w:rPr>
  </w:style>
  <w:style w:type="paragraph" w:customStyle="1" w:styleId="TitularInicio">
    <w:name w:val="TitularInicio"/>
    <w:basedOn w:val="StyleTitularBold"/>
    <w:autoRedefine/>
    <w:rsid w:val="002732D9"/>
    <w:pPr>
      <w:numPr>
        <w:ilvl w:val="0"/>
        <w:numId w:val="0"/>
      </w:numPr>
    </w:pPr>
  </w:style>
  <w:style w:type="numbering" w:customStyle="1" w:styleId="Lista1">
    <w:name w:val="Lista1"/>
    <w:basedOn w:val="NoList"/>
    <w:rsid w:val="007741DF"/>
    <w:pPr>
      <w:numPr>
        <w:numId w:val="1"/>
      </w:numPr>
    </w:pPr>
  </w:style>
  <w:style w:type="paragraph" w:customStyle="1" w:styleId="Normal4">
    <w:name w:val="Normal4"/>
    <w:basedOn w:val="Normal"/>
    <w:rsid w:val="00820B48"/>
    <w:pPr>
      <w:ind w:left="504"/>
    </w:pPr>
    <w:rPr>
      <w:lang w:val="es-ES_tradnl"/>
    </w:rPr>
  </w:style>
  <w:style w:type="paragraph" w:styleId="TOC5">
    <w:name w:val="toc 5"/>
    <w:basedOn w:val="ModelerNormal"/>
    <w:next w:val="ModelerNormal"/>
    <w:autoRedefine/>
    <w:rsid w:val="00E41A0B"/>
    <w:pPr>
      <w:spacing w:before="120" w:after="0" w:line="240" w:lineRule="auto"/>
      <w:ind w:left="800"/>
      <w:jc w:val="both"/>
    </w:pPr>
    <w:rPr>
      <w:rFonts w:eastAsia="Times New Roman"/>
      <w:color w:val="auto"/>
      <w:szCs w:val="20"/>
      <w:lang w:eastAsia="es-ES"/>
    </w:rPr>
  </w:style>
  <w:style w:type="paragraph" w:customStyle="1" w:styleId="Normal5">
    <w:name w:val="Normal5"/>
    <w:basedOn w:val="Normal"/>
    <w:rsid w:val="000774A1"/>
    <w:pPr>
      <w:ind w:left="1440"/>
    </w:pPr>
  </w:style>
  <w:style w:type="paragraph" w:customStyle="1" w:styleId="bizNormal">
    <w:name w:val="bizNormal"/>
    <w:basedOn w:val="ModelerNormal"/>
    <w:next w:val="ModelerNormal"/>
    <w:qFormat/>
    <w:rsid w:val="00E41A0B"/>
  </w:style>
  <w:style w:type="paragraph" w:customStyle="1" w:styleId="bizHeading1">
    <w:name w:val="bizHeading1"/>
    <w:basedOn w:val="Heading1"/>
    <w:next w:val="ModelerNormal"/>
    <w:qFormat/>
    <w:rsid w:val="004C30E2"/>
    <w:pPr>
      <w:keepNext/>
      <w:keepLines/>
      <w:numPr>
        <w:ilvl w:val="0"/>
        <w:numId w:val="4"/>
      </w:numPr>
      <w:tabs>
        <w:tab w:val="clear" w:pos="936"/>
      </w:tabs>
      <w:autoSpaceDE/>
      <w:autoSpaceDN/>
      <w:adjustRightInd/>
      <w:spacing w:before="400" w:after="0" w:line="269" w:lineRule="auto"/>
      <w:ind w:left="0" w:firstLine="0"/>
    </w:pPr>
    <w:rPr>
      <w:rFonts w:ascii="Segoe UI Semibold" w:eastAsia="Times New Roman" w:hAnsi="Segoe UI Semibold" w:cs="Times New Roman"/>
      <w:color w:val="30646E"/>
      <w:sz w:val="36"/>
      <w:szCs w:val="32"/>
      <w:lang w:val="en-AU"/>
    </w:rPr>
  </w:style>
  <w:style w:type="paragraph" w:customStyle="1" w:styleId="bizHeading2">
    <w:name w:val="bizHeading2"/>
    <w:basedOn w:val="Heading2"/>
    <w:next w:val="ModelerNormal"/>
    <w:qFormat/>
    <w:rsid w:val="004C30E2"/>
    <w:pPr>
      <w:keepNext/>
      <w:keepLines/>
      <w:numPr>
        <w:ilvl w:val="1"/>
        <w:numId w:val="4"/>
      </w:numPr>
      <w:tabs>
        <w:tab w:val="clear" w:pos="1080"/>
      </w:tabs>
      <w:autoSpaceDE/>
      <w:autoSpaceDN/>
      <w:adjustRightInd/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color w:val="009485"/>
      <w:sz w:val="32"/>
      <w:szCs w:val="26"/>
      <w:lang w:val="en-AU"/>
    </w:rPr>
  </w:style>
  <w:style w:type="paragraph" w:customStyle="1" w:styleId="bizHeading3">
    <w:name w:val="bizHeading3"/>
    <w:basedOn w:val="Heading3"/>
    <w:next w:val="ModelerNormal"/>
    <w:qFormat/>
    <w:rsid w:val="004C30E2"/>
    <w:pPr>
      <w:keepLines/>
      <w:numPr>
        <w:ilvl w:val="2"/>
        <w:numId w:val="4"/>
      </w:numPr>
      <w:tabs>
        <w:tab w:val="clear" w:pos="1224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212D34"/>
      <w:sz w:val="28"/>
      <w:szCs w:val="28"/>
      <w:lang w:val="en-AU"/>
    </w:rPr>
  </w:style>
  <w:style w:type="paragraph" w:customStyle="1" w:styleId="bizHeading4">
    <w:name w:val="bizHeading4"/>
    <w:basedOn w:val="Heading4"/>
    <w:next w:val="ModelerNormal"/>
    <w:qFormat/>
    <w:rsid w:val="004C30E2"/>
    <w:pPr>
      <w:keepNext/>
      <w:numPr>
        <w:ilvl w:val="3"/>
        <w:numId w:val="4"/>
      </w:numPr>
      <w:tabs>
        <w:tab w:val="clear" w:pos="1368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i/>
      <w:color w:val="006E63"/>
      <w:sz w:val="28"/>
      <w:szCs w:val="24"/>
      <w:lang w:val="en-AU"/>
    </w:rPr>
  </w:style>
  <w:style w:type="paragraph" w:customStyle="1" w:styleId="bizHeading5">
    <w:name w:val="bizHeading5"/>
    <w:basedOn w:val="Heading5"/>
    <w:next w:val="ModelerNormal"/>
    <w:qFormat/>
    <w:rsid w:val="004C30E2"/>
    <w:pPr>
      <w:keepNext/>
      <w:numPr>
        <w:ilvl w:val="4"/>
        <w:numId w:val="4"/>
      </w:numPr>
      <w:tabs>
        <w:tab w:val="clear" w:pos="1512"/>
      </w:tabs>
      <w:spacing w:before="40" w:after="0" w:line="269" w:lineRule="auto"/>
      <w:ind w:left="0" w:firstLine="0"/>
    </w:pPr>
    <w:rPr>
      <w:rFonts w:ascii="Segoe UI Semibold" w:eastAsia="Times New Roman" w:hAnsi="Segoe UI Semibold" w:cs="Times New Roman"/>
      <w:bCs w:val="0"/>
      <w:color w:val="5F6E7C"/>
      <w:sz w:val="26"/>
      <w:szCs w:val="20"/>
      <w:lang w:val="en-AU"/>
    </w:rPr>
  </w:style>
  <w:style w:type="paragraph" w:styleId="BalloonText">
    <w:name w:val="Balloon Text"/>
    <w:basedOn w:val="Normal"/>
    <w:link w:val="TextodegloboCar"/>
    <w:uiPriority w:val="99"/>
    <w:unhideWhenUsed/>
    <w:rsid w:val="00E41A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BalloonText"/>
    <w:uiPriority w:val="99"/>
    <w:rsid w:val="00E41A0B"/>
    <w:rPr>
      <w:rFonts w:ascii="Tahoma" w:eastAsia="Calibri" w:hAnsi="Tahoma" w:cs="Tahoma"/>
      <w:color w:val="595959"/>
      <w:sz w:val="16"/>
      <w:szCs w:val="16"/>
      <w:lang w:val="en-US" w:eastAsia="en-US" w:bidi="ar-SA"/>
    </w:rPr>
  </w:style>
  <w:style w:type="paragraph" w:customStyle="1" w:styleId="ModelerNormal">
    <w:name w:val="ModelerNormal"/>
    <w:basedOn w:val="Normal"/>
    <w:link w:val="ModelerNormalChar"/>
    <w:qFormat/>
    <w:rsid w:val="00E41A0B"/>
  </w:style>
  <w:style w:type="paragraph" w:customStyle="1" w:styleId="bizHeadingBAS3">
    <w:name w:val="bizHeadingBAS3"/>
    <w:basedOn w:val="bizHeading3"/>
    <w:next w:val="Normal"/>
    <w:rsid w:val="00F11476"/>
    <w:pPr>
      <w:pBdr>
        <w:top w:val="none" w:sz="0" w:space="0" w:color="auto"/>
      </w:pBdr>
    </w:pPr>
    <w:rPr>
      <w:caps/>
      <w:sz w:val="20"/>
    </w:rPr>
  </w:style>
  <w:style w:type="paragraph" w:customStyle="1" w:styleId="bizHeadingBAS2">
    <w:name w:val="bizHeadingBAS2"/>
    <w:basedOn w:val="bizHeading2"/>
    <w:next w:val="Normal"/>
    <w:rsid w:val="00BF1BBD"/>
    <w:rPr>
      <w:sz w:val="24"/>
    </w:rPr>
  </w:style>
  <w:style w:type="paragraph" w:customStyle="1" w:styleId="bizHeadingBAS1">
    <w:name w:val="bizHeadingBAS1"/>
    <w:basedOn w:val="bizHeading1"/>
    <w:next w:val="Normal"/>
    <w:qFormat/>
    <w:rsid w:val="004F1444"/>
    <w:pPr>
      <w:numPr>
        <w:ilvl w:val="0"/>
        <w:numId w:val="2"/>
      </w:numPr>
    </w:pPr>
  </w:style>
  <w:style w:type="character" w:customStyle="1" w:styleId="EncabezadoCar">
    <w:name w:val="Encabezado Car"/>
    <w:link w:val="Header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Ttulo2Car">
    <w:name w:val="Título 2 Car"/>
    <w:link w:val="Heading2"/>
    <w:uiPriority w:val="9"/>
    <w:rsid w:val="00E41A0B"/>
    <w:rPr>
      <w:rFonts w:ascii="Neo Sans Std" w:hAnsi="Neo Sans Std" w:cs="Arial"/>
      <w:color w:val="2E5E88"/>
      <w:sz w:val="34"/>
      <w:szCs w:val="32"/>
      <w:lang w:val="en-US" w:eastAsia="en-US" w:bidi="ar-SA"/>
    </w:rPr>
  </w:style>
  <w:style w:type="character" w:customStyle="1" w:styleId="TextoindependienteCar">
    <w:name w:val="Texto independiente Car"/>
    <w:link w:val="BodyText"/>
    <w:rsid w:val="00E41A0B"/>
    <w:rPr>
      <w:rFonts w:ascii="Segoe UI" w:hAnsi="Segoe UI"/>
      <w:color w:val="595959"/>
      <w:lang w:val="en-US" w:eastAsia="en-US" w:bidi="ar-SA"/>
    </w:rPr>
  </w:style>
  <w:style w:type="paragraph" w:customStyle="1" w:styleId="bizHeadingBAS11">
    <w:name w:val="bizHeadingBAS1_1"/>
    <w:basedOn w:val="bizHeadingBAS1"/>
    <w:next w:val="Normal"/>
    <w:qFormat/>
    <w:rsid w:val="004F1444"/>
    <w:pPr>
      <w:numPr>
        <w:ilvl w:val="0"/>
        <w:numId w:val="0"/>
      </w:numPr>
    </w:pPr>
  </w:style>
  <w:style w:type="character" w:customStyle="1" w:styleId="Ttulo3Car">
    <w:name w:val="Título 3 Car"/>
    <w:link w:val="Heading3"/>
    <w:uiPriority w:val="9"/>
    <w:rsid w:val="00E41A0B"/>
    <w:rPr>
      <w:rFonts w:ascii="Neo Sans Std" w:hAnsi="Neo Sans Std" w:cs="Arial"/>
      <w:bCs/>
      <w:color w:val="548DD4"/>
      <w:sz w:val="26"/>
      <w:szCs w:val="26"/>
      <w:lang w:val="en-US" w:eastAsia="en-US" w:bidi="ar-SA"/>
    </w:rPr>
  </w:style>
  <w:style w:type="character" w:customStyle="1" w:styleId="Ttulo4Car">
    <w:name w:val="Título 4 Car"/>
    <w:link w:val="Heading4"/>
    <w:uiPriority w:val="9"/>
    <w:rsid w:val="00E41A0B"/>
    <w:rPr>
      <w:rFonts w:ascii="Aller" w:hAnsi="Aller"/>
      <w:iCs/>
      <w:color w:val="7F7F7F"/>
      <w:sz w:val="24"/>
      <w:szCs w:val="26"/>
      <w:lang w:val="en-US" w:eastAsia="en-US" w:bidi="ar-SA"/>
    </w:rPr>
  </w:style>
  <w:style w:type="character" w:customStyle="1" w:styleId="Ttulo5Car">
    <w:name w:val="Título 5 Car"/>
    <w:link w:val="Heading5"/>
    <w:uiPriority w:val="9"/>
    <w:rsid w:val="00E41A0B"/>
    <w:rPr>
      <w:rFonts w:ascii="Aller Light" w:hAnsi="Aller Light"/>
      <w:bCs/>
      <w:color w:val="808080"/>
      <w:sz w:val="24"/>
      <w:szCs w:val="26"/>
      <w:lang w:val="en-US" w:eastAsia="en-US" w:bidi="ar-SA"/>
    </w:rPr>
  </w:style>
  <w:style w:type="paragraph" w:customStyle="1" w:styleId="Confidential">
    <w:name w:val="Confidential"/>
    <w:basedOn w:val="Normal"/>
    <w:qFormat/>
    <w:rsid w:val="00E41A0B"/>
    <w:pPr>
      <w:spacing w:after="0" w:line="240" w:lineRule="auto"/>
    </w:pPr>
    <w:rPr>
      <w:rFonts w:eastAsia="Times New Roman"/>
      <w:i/>
      <w:color w:val="808080"/>
      <w:szCs w:val="20"/>
    </w:rPr>
  </w:style>
  <w:style w:type="character" w:styleId="Emphasis">
    <w:name w:val="Emphasis"/>
    <w:qFormat/>
    <w:rsid w:val="00E41A0B"/>
    <w:rPr>
      <w:rFonts w:ascii="Segoe UI" w:hAnsi="Segoe UI"/>
      <w:b/>
      <w:i/>
      <w:iCs/>
      <w:color w:val="404040"/>
    </w:rPr>
  </w:style>
  <w:style w:type="character" w:customStyle="1" w:styleId="PiedepginaCar">
    <w:name w:val="Pie de página Car"/>
    <w:link w:val="Footer"/>
    <w:uiPriority w:val="99"/>
    <w:rsid w:val="00E41A0B"/>
    <w:rPr>
      <w:rFonts w:ascii="Segoe UI" w:eastAsia="Calibri" w:hAnsi="Segoe UI"/>
      <w:color w:val="595959"/>
      <w:szCs w:val="22"/>
      <w:lang w:val="en-US" w:eastAsia="en-US" w:bidi="ar-SA"/>
    </w:rPr>
  </w:style>
  <w:style w:type="paragraph" w:customStyle="1" w:styleId="frontpage">
    <w:name w:val="front page"/>
    <w:basedOn w:val="Normal"/>
    <w:qFormat/>
    <w:rsid w:val="00E41A0B"/>
    <w:pPr>
      <w:spacing w:after="0" w:line="240" w:lineRule="auto"/>
      <w:ind w:left="634"/>
    </w:pPr>
    <w:rPr>
      <w:rFonts w:eastAsia="Times New Roman"/>
      <w:noProof/>
      <w:szCs w:val="20"/>
    </w:rPr>
  </w:style>
  <w:style w:type="character" w:customStyle="1" w:styleId="Ttulo6Car">
    <w:name w:val="Título 6 Car"/>
    <w:link w:val="Heading6"/>
    <w:uiPriority w:val="9"/>
    <w:rsid w:val="00E41A0B"/>
    <w:rPr>
      <w:rFonts w:ascii="Aller Light" w:hAnsi="Aller Light"/>
      <w:bCs/>
      <w:i/>
      <w:iCs/>
      <w:color w:val="808080"/>
      <w:sz w:val="22"/>
      <w:szCs w:val="26"/>
      <w:lang w:val="en-US" w:eastAsia="en-US" w:bidi="ar-SA"/>
    </w:rPr>
  </w:style>
  <w:style w:type="paragraph" w:customStyle="1" w:styleId="heading40">
    <w:name w:val="heading4"/>
    <w:basedOn w:val="Heading3"/>
    <w:rsid w:val="00E41A0B"/>
    <w:pPr>
      <w:numPr>
        <w:ilvl w:val="0"/>
        <w:numId w:val="0"/>
      </w:numPr>
      <w:spacing w:after="0" w:line="240" w:lineRule="auto"/>
    </w:pPr>
    <w:rPr>
      <w:color w:val="404040"/>
      <w:szCs w:val="34"/>
    </w:rPr>
  </w:style>
  <w:style w:type="paragraph" w:customStyle="1" w:styleId="images">
    <w:name w:val="images"/>
    <w:basedOn w:val="Normal"/>
    <w:qFormat/>
    <w:rsid w:val="00E41A0B"/>
    <w:pPr>
      <w:spacing w:after="0"/>
    </w:pPr>
    <w:rPr>
      <w:noProof/>
    </w:rPr>
  </w:style>
  <w:style w:type="paragraph" w:styleId="ListBullet">
    <w:name w:val="List Bullet"/>
    <w:basedOn w:val="Normal"/>
    <w:rsid w:val="00E41A0B"/>
    <w:pPr>
      <w:numPr>
        <w:ilvl w:val="0"/>
        <w:numId w:val="3"/>
      </w:numPr>
      <w:spacing w:after="240" w:line="260" w:lineRule="exact"/>
    </w:pPr>
    <w:rPr>
      <w:rFonts w:eastAsia="Times New Roman"/>
      <w:szCs w:val="20"/>
    </w:rPr>
  </w:style>
  <w:style w:type="paragraph" w:styleId="NoSpacing">
    <w:name w:val="No Spacing"/>
    <w:link w:val="SinespaciadoCar"/>
    <w:uiPriority w:val="1"/>
    <w:qFormat/>
    <w:rsid w:val="00E41A0B"/>
    <w:rPr>
      <w:rFonts w:ascii="Calibri" w:hAnsi="Calibri"/>
      <w:sz w:val="22"/>
      <w:szCs w:val="22"/>
      <w:lang w:val="en-US" w:eastAsia="en-US" w:bidi="ar-SA"/>
    </w:rPr>
  </w:style>
  <w:style w:type="character" w:customStyle="1" w:styleId="SinespaciadoCar">
    <w:name w:val="Sin espaciado Car"/>
    <w:link w:val="NoSpacing"/>
    <w:uiPriority w:val="1"/>
    <w:rsid w:val="00E41A0B"/>
    <w:rPr>
      <w:rFonts w:ascii="Calibri" w:hAnsi="Calibri"/>
      <w:sz w:val="22"/>
      <w:szCs w:val="22"/>
      <w:lang w:val="en-US" w:eastAsia="en-US" w:bidi="ar-SA"/>
    </w:rPr>
  </w:style>
  <w:style w:type="paragraph" w:customStyle="1" w:styleId="notes">
    <w:name w:val="notes"/>
    <w:basedOn w:val="heading40"/>
    <w:qFormat/>
    <w:rsid w:val="00E41A0B"/>
    <w:pPr>
      <w:outlineLvl w:val="9"/>
    </w:pPr>
    <w:rPr>
      <w:rFonts w:ascii="Segoe UI" w:hAnsi="Segoe UI"/>
      <w:sz w:val="20"/>
      <w:lang w:eastAsia="es-CO"/>
    </w:rPr>
  </w:style>
  <w:style w:type="paragraph" w:customStyle="1" w:styleId="Notestitle">
    <w:name w:val="Notes title"/>
    <w:basedOn w:val="notes"/>
    <w:qFormat/>
    <w:rsid w:val="00E41A0B"/>
  </w:style>
  <w:style w:type="paragraph" w:customStyle="1" w:styleId="TableText">
    <w:name w:val="Table Text"/>
    <w:rsid w:val="00E41A0B"/>
    <w:pPr>
      <w:spacing w:before="100"/>
    </w:pPr>
    <w:rPr>
      <w:rFonts w:ascii="Segoe UI" w:hAnsi="Segoe UI"/>
      <w:color w:val="595959"/>
      <w:sz w:val="16"/>
      <w:lang w:val="en-US" w:eastAsia="en-US" w:bidi="ar-SA"/>
    </w:rPr>
  </w:style>
  <w:style w:type="paragraph" w:customStyle="1" w:styleId="Total">
    <w:name w:val="Total"/>
    <w:basedOn w:val="TableText"/>
    <w:rsid w:val="00E41A0B"/>
    <w:pPr>
      <w:jc w:val="right"/>
    </w:pPr>
    <w:rPr>
      <w:b/>
      <w:bCs/>
    </w:rPr>
  </w:style>
  <w:style w:type="paragraph" w:customStyle="1" w:styleId="PageNumber1">
    <w:name w:val="Page Number1"/>
    <w:basedOn w:val="Total"/>
    <w:qFormat/>
    <w:rsid w:val="00E41A0B"/>
    <w:pPr>
      <w:spacing w:before="40"/>
      <w:jc w:val="left"/>
    </w:pPr>
  </w:style>
  <w:style w:type="paragraph" w:customStyle="1" w:styleId="StyleHeading1NotBold">
    <w:name w:val="Style Heading 1 + Not Bold"/>
    <w:basedOn w:val="Heading1"/>
    <w:rsid w:val="00E41A0B"/>
    <w:pPr>
      <w:numPr>
        <w:ilvl w:val="0"/>
        <w:numId w:val="0"/>
      </w:numPr>
    </w:pPr>
    <w:rPr>
      <w:b/>
    </w:rPr>
  </w:style>
  <w:style w:type="paragraph" w:customStyle="1" w:styleId="StyleProjectNameAllerLightRight">
    <w:name w:val="Style Project Name + Aller Light Right"/>
    <w:basedOn w:val="Normal"/>
    <w:rsid w:val="00E41A0B"/>
    <w:pPr>
      <w:spacing w:before="100" w:after="0" w:line="240" w:lineRule="auto"/>
      <w:jc w:val="right"/>
    </w:pPr>
    <w:rPr>
      <w:rFonts w:ascii="Aller Light" w:eastAsia="Times New Roman" w:hAnsi="Aller Light"/>
      <w:color w:val="808080"/>
      <w:sz w:val="44"/>
      <w:szCs w:val="20"/>
    </w:rPr>
  </w:style>
  <w:style w:type="paragraph" w:customStyle="1" w:styleId="StyleStyleProjectNameAllerLightRightAller40ptText1">
    <w:name w:val="Style Style Project Name + Aller Light Right + Aller 40 pt Text 1"/>
    <w:basedOn w:val="StyleProjectNameAllerLightRight"/>
    <w:rsid w:val="00E41A0B"/>
    <w:rPr>
      <w:rFonts w:ascii="Neo Sans Std" w:hAnsi="Neo Sans Std"/>
      <w:color w:val="595959"/>
      <w:sz w:val="80"/>
    </w:rPr>
  </w:style>
  <w:style w:type="paragraph" w:customStyle="1" w:styleId="StyleStyleProjectNameAllerLightRightAller40ptText11">
    <w:name w:val="Style Style Project Name + Aller Light Right + Aller 40 pt Text 11"/>
    <w:basedOn w:val="StyleProjectNameAllerLightRight"/>
    <w:rsid w:val="00E41A0B"/>
    <w:rPr>
      <w:rFonts w:ascii="Neo Sans Std" w:hAnsi="Neo Sans Std"/>
      <w:color w:val="2E5E88"/>
      <w:sz w:val="40"/>
    </w:rPr>
  </w:style>
  <w:style w:type="paragraph" w:customStyle="1" w:styleId="StyleStyleProposalAllerText1TopNoborderRight">
    <w:name w:val="Style Style Proposal + Aller Text 1 Top: (No border) + Right"/>
    <w:basedOn w:val="Normal"/>
    <w:rsid w:val="00E41A0B"/>
    <w:pPr>
      <w:spacing w:after="0" w:line="240" w:lineRule="auto"/>
      <w:jc w:val="right"/>
    </w:pPr>
    <w:rPr>
      <w:rFonts w:eastAsia="Times New Roman"/>
      <w:sz w:val="76"/>
      <w:szCs w:val="20"/>
    </w:rPr>
  </w:style>
  <w:style w:type="paragraph" w:customStyle="1" w:styleId="textoheader">
    <w:name w:val="texto header"/>
    <w:basedOn w:val="Normal"/>
    <w:qFormat/>
    <w:rsid w:val="00E41A0B"/>
    <w:pPr>
      <w:pBdr>
        <w:left w:val="single" w:sz="4" w:space="4" w:color="595959"/>
      </w:pBdr>
      <w:tabs>
        <w:tab w:val="left" w:pos="1620"/>
      </w:tabs>
      <w:spacing w:after="0" w:line="240" w:lineRule="auto"/>
      <w:jc w:val="right"/>
    </w:pPr>
    <w:rPr>
      <w:rFonts w:ascii="Neo Sans Std" w:hAnsi="Neo Sans Std"/>
      <w:color w:val="808080"/>
      <w:sz w:val="26"/>
      <w:szCs w:val="26"/>
    </w:rPr>
  </w:style>
  <w:style w:type="paragraph" w:customStyle="1" w:styleId="Titulotabla">
    <w:name w:val="Titulo tabla"/>
    <w:qFormat/>
    <w:rsid w:val="00E41A0B"/>
    <w:pPr>
      <w:tabs>
        <w:tab w:val="left" w:pos="1620"/>
      </w:tabs>
      <w:spacing w:before="40"/>
    </w:pPr>
    <w:rPr>
      <w:rFonts w:ascii="Segoe UI" w:eastAsia="Calibri" w:hAnsi="Segoe UI"/>
      <w:color w:val="595959"/>
      <w:sz w:val="22"/>
      <w:szCs w:val="28"/>
      <w:lang w:val="es-CO" w:eastAsia="en-US" w:bidi="ar-SA"/>
    </w:rPr>
  </w:style>
  <w:style w:type="paragraph" w:styleId="TOAHeading">
    <w:name w:val="toa heading"/>
    <w:basedOn w:val="Normal"/>
    <w:next w:val="Normal"/>
    <w:uiPriority w:val="99"/>
    <w:unhideWhenUsed/>
    <w:rsid w:val="00E41A0B"/>
    <w:pPr>
      <w:spacing w:before="120"/>
    </w:pPr>
    <w:rPr>
      <w:rFonts w:ascii="Neo Sans Std" w:eastAsia="Times New Roman" w:hAnsi="Neo Sans Std"/>
      <w:bCs/>
      <w:color w:val="1A2A44"/>
      <w:sz w:val="30"/>
      <w:szCs w:val="24"/>
    </w:rPr>
  </w:style>
  <w:style w:type="paragraph" w:styleId="TOC4">
    <w:name w:val="toc 4"/>
    <w:basedOn w:val="ModelerNormal"/>
    <w:next w:val="ModelerNormal"/>
    <w:autoRedefine/>
    <w:uiPriority w:val="39"/>
    <w:unhideWhenUsed/>
    <w:rsid w:val="00E41A0B"/>
    <w:pPr>
      <w:tabs>
        <w:tab w:val="left" w:pos="1542"/>
        <w:tab w:val="right" w:leader="dot" w:pos="8828"/>
      </w:tabs>
      <w:spacing w:before="120" w:after="0"/>
      <w:ind w:left="601"/>
      <w:jc w:val="both"/>
    </w:pPr>
  </w:style>
  <w:style w:type="paragraph" w:styleId="TOC6">
    <w:name w:val="toc 6"/>
    <w:basedOn w:val="TOC3"/>
    <w:next w:val="Normal"/>
    <w:autoRedefine/>
    <w:uiPriority w:val="39"/>
    <w:unhideWhenUsed/>
    <w:rsid w:val="00E41A0B"/>
    <w:pPr>
      <w:spacing w:after="100"/>
      <w:ind w:left="2268"/>
    </w:pPr>
  </w:style>
  <w:style w:type="paragraph" w:customStyle="1" w:styleId="website">
    <w:name w:val="website"/>
    <w:basedOn w:val="Footer"/>
    <w:qFormat/>
    <w:rsid w:val="00E41A0B"/>
    <w:pPr>
      <w:tabs>
        <w:tab w:val="clear" w:pos="4419"/>
        <w:tab w:val="center" w:pos="4680"/>
        <w:tab w:val="clear" w:pos="8838"/>
        <w:tab w:val="right" w:pos="9360"/>
      </w:tabs>
      <w:spacing w:after="200" w:line="260" w:lineRule="exact"/>
      <w:ind w:left="630"/>
      <w:jc w:val="right"/>
    </w:pPr>
    <w:rPr>
      <w:rFonts w:eastAsia="Times New Roman"/>
      <w:noProof/>
      <w:szCs w:val="20"/>
    </w:rPr>
  </w:style>
  <w:style w:type="numbering" w:customStyle="1" w:styleId="Headings">
    <w:name w:val="Headings"/>
    <w:uiPriority w:val="99"/>
    <w:rsid w:val="007E50A6"/>
    <w:pPr>
      <w:numPr>
        <w:numId w:val="5"/>
      </w:numPr>
    </w:pPr>
  </w:style>
  <w:style w:type="paragraph" w:customStyle="1" w:styleId="bizTitle">
    <w:name w:val="bizTitle"/>
    <w:basedOn w:val="Normal"/>
    <w:next w:val="Title"/>
    <w:link w:val="bizTitleChar"/>
    <w:qFormat/>
    <w:rsid w:val="00C55278"/>
    <w:pPr>
      <w:spacing w:before="240" w:after="60" w:line="240" w:lineRule="auto"/>
      <w:jc w:val="right"/>
      <w:outlineLvl w:val="0"/>
    </w:pPr>
    <w:rPr>
      <w:rFonts w:ascii="Segoe UI Semilight" w:eastAsia="Times New Roman" w:hAnsi="Segoe UI Semilight" w:cs="Vrinda"/>
      <w:bCs/>
      <w:color w:val="212D34"/>
      <w:kern w:val="28"/>
      <w:sz w:val="96"/>
      <w:szCs w:val="32"/>
    </w:rPr>
  </w:style>
  <w:style w:type="paragraph" w:customStyle="1" w:styleId="bizSubtitle">
    <w:name w:val="bizSubtitle"/>
    <w:basedOn w:val="Subtitle"/>
    <w:next w:val="Subtitle"/>
    <w:link w:val="bizSubtitleChar"/>
    <w:qFormat/>
    <w:rsid w:val="00C55278"/>
    <w:pPr>
      <w:jc w:val="right"/>
    </w:pPr>
    <w:rPr>
      <w:rFonts w:ascii="Segoe UI Semilight" w:hAnsi="Segoe UI Semilight"/>
      <w:color w:val="30646E"/>
      <w:sz w:val="64"/>
    </w:rPr>
  </w:style>
  <w:style w:type="character" w:customStyle="1" w:styleId="ModelerNormalChar">
    <w:name w:val="ModelerNormal Char"/>
    <w:link w:val="ModelerNormal"/>
    <w:rsid w:val="00DA5550"/>
    <w:rPr>
      <w:rFonts w:ascii="Segoe UI" w:eastAsia="Calibri" w:hAnsi="Segoe UI"/>
      <w:color w:val="595959"/>
      <w:szCs w:val="22"/>
      <w:lang w:val="en-US" w:eastAsia="en-US" w:bidi="ar-SA"/>
    </w:rPr>
  </w:style>
  <w:style w:type="character" w:customStyle="1" w:styleId="bizTitleChar">
    <w:name w:val="bizTitle Char"/>
    <w:link w:val="bizTitle"/>
    <w:rsid w:val="00C55278"/>
    <w:rPr>
      <w:rFonts w:ascii="Segoe UI Semilight" w:hAnsi="Segoe UI Semilight" w:cs="Vrinda"/>
      <w:bCs/>
      <w:color w:val="212D34"/>
      <w:kern w:val="28"/>
      <w:sz w:val="96"/>
      <w:szCs w:val="32"/>
      <w:lang w:val="en-US" w:eastAsia="en-US"/>
    </w:rPr>
  </w:style>
  <w:style w:type="paragraph" w:styleId="Title">
    <w:name w:val="Title"/>
    <w:basedOn w:val="Normal"/>
    <w:next w:val="Normal"/>
    <w:link w:val="TtuloCar"/>
    <w:uiPriority w:val="10"/>
    <w:qFormat/>
    <w:rsid w:val="00DA5550"/>
    <w:pPr>
      <w:spacing w:before="240" w:after="60"/>
      <w:jc w:val="center"/>
      <w:outlineLvl w:val="0"/>
    </w:pPr>
    <w:rPr>
      <w:rFonts w:ascii="Cambria" w:eastAsia="Times New Roman" w:hAnsi="Cambria" w:cs="Vrinda"/>
      <w:b/>
      <w:bCs/>
      <w:kern w:val="28"/>
      <w:sz w:val="32"/>
      <w:szCs w:val="32"/>
    </w:rPr>
  </w:style>
  <w:style w:type="character" w:customStyle="1" w:styleId="TtuloCar">
    <w:name w:val="Título Car"/>
    <w:link w:val="Title"/>
    <w:uiPriority w:val="10"/>
    <w:rsid w:val="00DA5550"/>
    <w:rPr>
      <w:rFonts w:ascii="Cambria" w:eastAsia="Times New Roman" w:hAnsi="Cambria" w:cs="Vrinda"/>
      <w:b/>
      <w:bCs/>
      <w:color w:val="595959"/>
      <w:kern w:val="28"/>
      <w:sz w:val="32"/>
      <w:szCs w:val="32"/>
      <w:lang w:val="en-US" w:eastAsia="en-US" w:bidi="ar-SA"/>
    </w:rPr>
  </w:style>
  <w:style w:type="paragraph" w:customStyle="1" w:styleId="BoldModelerNormal">
    <w:name w:val="BoldModelerNormal"/>
    <w:basedOn w:val="ModelerNormal"/>
    <w:next w:val="ModelerNormal"/>
    <w:qFormat/>
    <w:rsid w:val="00032CAE"/>
    <w:rPr>
      <w:b/>
    </w:rPr>
  </w:style>
  <w:style w:type="paragraph" w:styleId="Subtitle">
    <w:name w:val="Subtitle"/>
    <w:basedOn w:val="Normal"/>
    <w:next w:val="Normal"/>
    <w:link w:val="SubttuloCar"/>
    <w:uiPriority w:val="11"/>
    <w:qFormat/>
    <w:rsid w:val="001E5639"/>
    <w:pPr>
      <w:spacing w:after="60"/>
      <w:jc w:val="center"/>
      <w:outlineLvl w:val="1"/>
    </w:pPr>
    <w:rPr>
      <w:rFonts w:ascii="Cambria" w:eastAsia="Times New Roman" w:hAnsi="Cambria" w:cs="Vrinda"/>
      <w:sz w:val="24"/>
      <w:szCs w:val="24"/>
    </w:rPr>
  </w:style>
  <w:style w:type="character" w:customStyle="1" w:styleId="SubttuloCar">
    <w:name w:val="Subtítulo Car"/>
    <w:link w:val="Subtitle"/>
    <w:uiPriority w:val="11"/>
    <w:rsid w:val="001E5639"/>
    <w:rPr>
      <w:rFonts w:ascii="Cambria" w:eastAsia="Times New Roman" w:hAnsi="Cambria" w:cs="Vrinda"/>
      <w:color w:val="595959"/>
      <w:sz w:val="24"/>
      <w:szCs w:val="24"/>
      <w:lang w:val="en-US" w:eastAsia="en-US" w:bidi="ar-SA"/>
    </w:rPr>
  </w:style>
  <w:style w:type="character" w:customStyle="1" w:styleId="bizSubtitleChar">
    <w:name w:val="bizSubtitle Char"/>
    <w:link w:val="bizSubtitle"/>
    <w:rsid w:val="00C55278"/>
    <w:rPr>
      <w:rFonts w:ascii="Segoe UI Semilight" w:hAnsi="Segoe UI Semilight" w:cs="Vrinda"/>
      <w:color w:val="30646E"/>
      <w:sz w:val="6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png" /><Relationship Id="rId11" Type="http://schemas.openxmlformats.org/officeDocument/2006/relationships/image" Target="media/image4.png" /><Relationship Id="rId12" Type="http://schemas.openxmlformats.org/officeDocument/2006/relationships/image" Target="media/image5.png" /><Relationship Id="rId13" Type="http://schemas.openxmlformats.org/officeDocument/2006/relationships/image" Target="media/image6.png" /><Relationship Id="rId14" Type="http://schemas.openxmlformats.org/officeDocument/2006/relationships/image" Target="media/image7.png" /><Relationship Id="rId15" Type="http://schemas.openxmlformats.org/officeDocument/2006/relationships/header" Target="header2.xml" /><Relationship Id="rId16" Type="http://schemas.openxmlformats.org/officeDocument/2006/relationships/header" Target="header3.xml" /><Relationship Id="rId17" Type="http://schemas.openxmlformats.org/officeDocument/2006/relationships/footer" Target="footer4.xml" /><Relationship Id="rId18" Type="http://schemas.openxmlformats.org/officeDocument/2006/relationships/header" Target="header4.xml" /><Relationship Id="rId19" Type="http://schemas.openxmlformats.org/officeDocument/2006/relationships/image" Target="media/image10.emf" /><Relationship Id="rId2" Type="http://schemas.openxmlformats.org/officeDocument/2006/relationships/webSettings" Target="webSettings.xml" /><Relationship Id="rId20" Type="http://schemas.openxmlformats.org/officeDocument/2006/relationships/image" Target="media/image11.png" /><Relationship Id="rId21" Type="http://schemas.openxmlformats.org/officeDocument/2006/relationships/numbering" Target="numbering.xml" /><Relationship Id="rId22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customXml" Target="../customXml/item2.xml" /><Relationship Id="rId6" Type="http://schemas.openxmlformats.org/officeDocument/2006/relationships/header" Target="header1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footer" Target="footer3.xml" /></Relationships>
</file>

<file path=word/_rels/footer2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footer3.xml.rels>&#65279;<?xml version="1.0" encoding="utf-8" standalone="yes"?><Relationships xmlns="http://schemas.openxmlformats.org/package/2006/relationships"><Relationship Id="rId1" Type="http://schemas.openxmlformats.org/officeDocument/2006/relationships/hyperlink" Target="www.bizagi.com" TargetMode="Externa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Relationship Id="rId2" Type="http://schemas.openxmlformats.org/officeDocument/2006/relationships/image" Target="media/image2.png" /></Relationships>
</file>

<file path=word/_rels/header3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_rels/header4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8.png" /><Relationship Id="rId2" Type="http://schemas.openxmlformats.org/officeDocument/2006/relationships/image" Target="media/image9.png" /></Relationships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8C44E3-98A0-4306-8239-8B36E789D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15</Pages>
  <Words>0</Words>
  <Characters>1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03598064225</dc:creator>
  <cp:lastModifiedBy>03598064225</cp:lastModifiedBy>
  <cp:revision>1</cp:revision>
  <dcterms:created xsi:type="dcterms:W3CDTF">2014-03-13T20:06:00Z</dcterms:created>
  <dcterms:modified xsi:type="dcterms:W3CDTF">2021-06-30T16:18:00Z</dcterms:modified>
</cp:coreProperties>
</file>