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izTitle"/>
        <w:jc w:val="right"/>
      </w:pPr>
      <w:bookmarkStart w:id="0" w:name="_Toc256000000"/>
      <w:r w:rsidRPr="00275F9A">
        <w:t>Redesenhos dos fluxos de tratamento e distribuição da bolsas de hemocomponentes (ciclo do sangue) 2.0</w:t>
      </w:r>
      <w:bookmarkEnd w:id="0"/>
    </w:p>
    <w:p w:rsidR="00B603BE" w:rsidRPr="00275F9A" w:rsidP="00032CAE">
      <w:pPr>
        <w:pStyle w:val="bizSubtitle"/>
        <w:jc w:val="right"/>
      </w:pPr>
      <w:bookmarkStart w:id="1" w:name="_Toc256000001"/>
      <w:r w:rsidRPr="00275F9A">
        <w:t>Bizagi Modeler</w:t>
      </w:r>
      <w:bookmarkEnd w:id="1"/>
    </w:p>
    <w:p w:rsidR="00B603BE" w:rsidRPr="00275F9A">
      <w:pPr>
        <w:sectPr w:rsidSect="00503EE8">
          <w:headerReference w:type="default" r:id="rId6"/>
          <w:footerReference w:type="even" r:id="rId7"/>
          <w:footerReference w:type="default" r:id="rId8"/>
          <w:footerReference w:type="first" r:id="rId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Pr="00275F9A" w:rsidR="00B603BE">
          <w:rPr>
            <w:rStyle w:val="Hyperlink"/>
          </w:rPr>
          <w:t>Redesenhos dos fluxos de tratamento e distribuição da bolsas de hemocomponentes (ciclo do sangue) 2.0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Pr="00275F9A" w:rsidR="00B603BE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2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 BE - Reintegração da bolsa à Agência Transfusional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Hospital/Clínica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0772382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Requisitar devolução à Agência Transfusional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1.2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REINTEGRAÇÃO DA BOLSA À AGÊNCIA TRANSFUSIONAL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1.2.1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1.2.1.1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3789214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Verificar solicitação de devolução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1.2.1.2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6010123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Receber a bolsa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1.2.1.3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4837303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Registrar análise da bolsa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1" w:history="1">
        <w:r>
          <w:rPr>
            <w:rStyle w:val="Hyperlink"/>
          </w:rPr>
          <w:t>1.2.1.4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6118945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Solicitar validação de hemocomponente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2" w:history="1">
        <w:r>
          <w:rPr>
            <w:rStyle w:val="Hyperlink"/>
          </w:rPr>
          <w:t>1.2.1.5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6394814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Colocar em quarentena</w:t>
        </w:r>
        <w:r>
          <w:tab/>
        </w:r>
        <w:r>
          <w:fldChar w:fldCharType="begin"/>
        </w:r>
        <w:r>
          <w:instrText xml:space="preserve"> PAGEREF _Toc256000012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3" w:history="1">
        <w:r>
          <w:rPr>
            <w:rStyle w:val="Hyperlink"/>
          </w:rPr>
          <w:t>1.2.1.6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9654700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Expurgar</w:t>
        </w:r>
        <w:r>
          <w:tab/>
        </w:r>
        <w:r>
          <w:fldChar w:fldCharType="begin"/>
        </w:r>
        <w:r>
          <w:instrText xml:space="preserve"> PAGEREF _Toc256000013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4" w:history="1">
        <w:r>
          <w:rPr>
            <w:rStyle w:val="Hyperlink"/>
          </w:rPr>
          <w:t>1.2.1.7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985329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Expurgar</w:t>
        </w:r>
        <w:r>
          <w:tab/>
        </w:r>
        <w:r>
          <w:fldChar w:fldCharType="begin"/>
        </w:r>
        <w:r>
          <w:instrText xml:space="preserve"> PAGEREF _Toc256000014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5" w:history="1">
        <w:r>
          <w:rPr>
            <w:rStyle w:val="Hyperlink"/>
          </w:rPr>
          <w:t>1.2.1.8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777746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Registrar expurgo</w:t>
        </w:r>
        <w:r>
          <w:tab/>
        </w:r>
        <w:r>
          <w:fldChar w:fldCharType="begin"/>
        </w:r>
        <w:r>
          <w:instrText xml:space="preserve"> PAGEREF _Toc256000015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6" w:history="1">
        <w:r>
          <w:rPr>
            <w:rStyle w:val="Hyperlink"/>
          </w:rPr>
          <w:t>1.2.1.9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2556361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Reintegração</w:t>
        </w:r>
        <w:r>
          <w:tab/>
        </w:r>
        <w:r>
          <w:fldChar w:fldCharType="begin"/>
        </w:r>
        <w:r>
          <w:instrText xml:space="preserve"> PAGEREF _Toc256000016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7" w:history="1">
        <w:r>
          <w:rPr>
            <w:rStyle w:val="Hyperlink"/>
          </w:rPr>
          <w:t>1.2.1.10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6289798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 Reintegrar a bolsa</w:t>
        </w:r>
        <w:r>
          <w:tab/>
        </w:r>
        <w:r>
          <w:fldChar w:fldCharType="begin"/>
        </w:r>
        <w:r>
          <w:instrText xml:space="preserve"> PAGEREF _Toc256000017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8" w:history="1">
        <w:r>
          <w:rPr>
            <w:rStyle w:val="Hyperlink"/>
          </w:rPr>
          <w:t>1.2.1.11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6884475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Reintegração</w:t>
        </w:r>
        <w:r>
          <w:tab/>
        </w:r>
        <w:r>
          <w:fldChar w:fldCharType="begin"/>
        </w:r>
        <w:r>
          <w:instrText xml:space="preserve"> PAGEREF _Toc256000018 \h </w:instrText>
        </w:r>
        <w:r>
          <w:fldChar w:fldCharType="separate"/>
        </w:r>
        <w:r>
          <w:t>24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headerReference w:type="even" r:id="rId14"/>
          <w:headerReference w:type="default" r:id="rId15"/>
          <w:footerReference w:type="default" r:id="rId16"/>
          <w:headerReference w:type="first" r:id="rId17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Id_61fc45341553412d9db1bf9f55825fea"/>
      <w:bookmarkStart w:id="3" w:name="_Toc256000002"/>
      <w:r>
        <w:t>TO BE - Reintegração da bolsa à Agência Transfusional</w:t>
      </w:r>
      <w:bookmarkEnd w:id="3"/>
    </w:p>
    <w:p>
      <w:pPr>
        <w:jc w:val="center"/>
      </w:pPr>
      <w:bookmarkEnd w:id="2"/>
      <w:r>
        <w:drawing>
          <wp:inline>
            <wp:extent cx="7035023" cy="5845810"/>
            <wp:docPr id="100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221091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035023" cy="5845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5840" w:h="12240" w:orient="landscape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Esse processo tem como escopo o redesenho do processo</w:t>
      </w:r>
      <w:r>
        <w:t xml:space="preserve"> </w:t>
      </w:r>
      <w:bookmarkStart w:id="4" w:name="_dx_frag_StartFragment"/>
      <w:bookmarkEnd w:id="4"/>
      <w:bookmarkStart w:id="5" w:name="_dx_frag_EndFragment"/>
      <w:bookmarkEnd w:id="5"/>
      <w:r>
        <w:t>Reintegração da bolsa à Agência Transfusional,</w:t>
      </w:r>
      <w:r>
        <w:t xml:space="preserve"> desde a necessidade de solicitar devolução da bolsa pelo Hospital/Clínica, até a Agência Transfusional recebendo a bolsa para reintegração</w:t>
      </w:r>
      <w:r>
        <w:t>.</w:t>
      </w:r>
    </w:p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>SUPERINTENDÊNCIA ESTADUAL DE TECNOLOGIA DA INFORMAÇÃO E COMUNICAÇÃO</w:t>
      </w:r>
    </w:p>
    <w:p>
      <w:pPr>
        <w:pStyle w:val="ModelerNormal"/>
        <w:spacing w:afterAutospacing="1"/>
      </w:pPr>
      <w:r>
        <w:t>Delner Freire</w:t>
      </w:r>
      <w:r>
        <w:br/>
      </w:r>
      <w:r>
        <w:t>Superintendente</w:t>
      </w:r>
      <w:r>
        <w:br/>
      </w:r>
      <w:r>
        <w:br/>
      </w:r>
      <w:r>
        <w:t>Abdenildo Sobreira</w:t>
      </w:r>
      <w:r>
        <w:br/>
      </w:r>
      <w:r>
        <w:t>Diretor Técnico</w:t>
      </w:r>
      <w:r>
        <w:br/>
      </w:r>
      <w:r>
        <w:br/>
      </w:r>
      <w:r>
        <w:t>Henrique Douglas Freire</w:t>
      </w:r>
      <w:r>
        <w:br/>
      </w:r>
      <w:r>
        <w:t>Coordenador de Gestão Estratégica</w:t>
      </w:r>
    </w:p>
    <w:p>
      <w:pPr>
        <w:pStyle w:val="BoldModelerNormal"/>
      </w:pPr>
      <w:r>
        <w:t>ELABORAÇÃO</w:t>
      </w:r>
    </w:p>
    <w:p>
      <w:pPr>
        <w:pStyle w:val="ModelerNormal"/>
        <w:spacing w:afterAutospacing="1"/>
      </w:pPr>
      <w:r>
        <w:t>Thaís Roca - Analista de Processos</w:t>
      </w:r>
      <w:r>
        <w:br/>
      </w:r>
      <w:r>
        <w:t>Crislâny Andrade - Analista de Processos</w:t>
      </w:r>
      <w:r>
        <w:t> </w:t>
      </w:r>
    </w:p>
    <w:p>
      <w:pPr>
        <w:pStyle w:val="BoldModelerNormal"/>
      </w:pPr>
      <w:r>
        <w:t>COLABORAÇÃO</w:t>
      </w:r>
    </w:p>
    <w:p>
      <w:pPr>
        <w:pStyle w:val="ModelerNormal"/>
        <w:spacing w:afterAutospacing="1"/>
      </w:pPr>
      <w:r>
        <w:t>Walquiria Lima de Almeida - Responsável pela Gerência de Laboratórios no  setor da Agência Transfusional da FHEMERON</w:t>
      </w:r>
      <w:r>
        <w:br/>
      </w:r>
      <w:r>
        <w:t>Ana Carolina</w:t>
      </w:r>
      <w:r>
        <w:t xml:space="preserve"> - </w:t>
      </w:r>
      <w:r>
        <w:t>Médica Hematologista da FHEMERON</w:t>
      </w:r>
    </w:p>
    <w:p>
      <w:pPr>
        <w:pStyle w:val="BoldModelerNormal"/>
      </w:pPr>
      <w:r>
        <w:t>REVISORES</w:t>
      </w:r>
    </w:p>
    <w:p>
      <w:pPr>
        <w:pStyle w:val="ModelerNormal"/>
        <w:spacing w:afterAutospacing="1"/>
      </w:pPr>
      <w:r>
        <w:t>Luma Damon</w:t>
      </w:r>
      <w:r>
        <w:t xml:space="preserve"> </w:t>
      </w:r>
      <w:r>
        <w:t>- Gerente de Processos</w:t>
      </w:r>
      <w:r>
        <w:br/>
      </w:r>
      <w:r>
        <w:t>Walquiria Lima - Dono do Processo</w:t>
      </w:r>
      <w:r>
        <w:br/>
      </w:r>
      <w:r>
        <w:t>Ádila Pires</w:t>
      </w:r>
      <w:r>
        <w:t xml:space="preserve"> - </w:t>
      </w:r>
      <w:r>
        <w:t>Dona do Produto</w:t>
      </w:r>
    </w:p>
    <w:p>
      <w:pPr>
        <w:pStyle w:val="BoldModelerNormal"/>
      </w:pPr>
      <w:r>
        <w:t>VERSIONAMENTO</w:t>
      </w:r>
    </w:p>
    <w:tbl>
      <w:tblPr>
        <w:tblW w:w="5000" w:type="pct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746"/>
        <w:gridCol w:w="1225"/>
        <w:gridCol w:w="3003"/>
        <w:gridCol w:w="3817"/>
      </w:tblGrid>
      <w:tr>
        <w:tblPrEx>
          <w:tblW w:w="5000" w:type="pct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Versão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Data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Responsável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Ação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1.0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01/12/2022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Thaís Roca</w:t>
            </w:r>
            <w:r>
              <w:br/>
            </w:r>
            <w:r>
              <w:t>Crislâny Andrade</w:t>
            </w:r>
          </w:p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Modelagem do Processo de Negócio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1.1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18/052023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Thaís Roca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Atualização de padrão textual</w:t>
            </w:r>
          </w:p>
        </w:tc>
      </w:tr>
    </w:tbl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1.0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Governo de Rondônia | Superintendência Estadual de Tecnologia da Informação e Comunicação</w:t>
      </w:r>
    </w:p>
    <w:p>
      <w:pPr>
        <w:pStyle w:val="bizHeading2"/>
      </w:pPr>
      <w:bookmarkStart w:id="6" w:name="Id_be9c383a18a240f3ac147aa5c5291fd6"/>
      <w:bookmarkStart w:id="7" w:name="_Toc256000003"/>
      <w:r>
        <w:t>Hospital/Clínica</w:t>
      </w:r>
      <w:bookmarkEnd w:id="7"/>
    </w:p>
    <w:p>
      <w:pPr>
        <w:pStyle w:val="bizHeading3"/>
      </w:pPr>
      <w:bookmarkEnd w:id="6"/>
      <w:bookmarkStart w:id="8" w:name="_Toc256000004"/>
      <w:r>
        <w:t>Elementos do processo</w:t>
      </w:r>
      <w:bookmarkEnd w:id="8"/>
    </w:p>
    <w:p>
      <w:pPr>
        <w:pStyle w:val="bizHeading4"/>
      </w:pPr>
      <w:bookmarkStart w:id="9" w:name="_Toc256000005"/>
      <w:r>
        <w:drawing>
          <wp:inline>
            <wp:extent cx="152421" cy="152421"/>
            <wp:docPr id="145369545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449310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Requisitar devolução à Agência Transfusional</w:t>
      </w:r>
      <w:bookmarkEnd w:id="9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No sistema SIHRO</w:t>
      </w:r>
      <w:r>
        <w:br/>
      </w:r>
      <w:r>
        <w:br/>
      </w:r>
      <w:r>
        <w:t>O que:</w:t>
      </w:r>
      <w:r>
        <w:t xml:space="preserve"> </w:t>
      </w:r>
      <w:r>
        <w:t>Requisitar devolução à Agência Transfusional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</w:p>
    <w:p>
      <w:pPr>
        <w:pStyle w:val="ModelerNormal"/>
        <w:spacing w:afterAutospacing="1"/>
      </w:pPr>
      <w:r>
        <w:t>Tarefa 1</w:t>
      </w:r>
      <w:r>
        <w:t>: Preencher no sistema SIHRO a requisição de devolução de hemocomponente à Agência Transfusional;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 xml:space="preserve">1- </w:t>
      </w:r>
      <w:r>
        <w:t>A requisição de devolução pode ser preenchida pelo o médico e/ou enfermeiro e assinada eletrônicamente;</w:t>
      </w:r>
      <w:r>
        <w:br/>
      </w:r>
      <w:r>
        <w:t xml:space="preserve">2- </w:t>
      </w:r>
      <w:r>
        <w:t>Só serão aceitos hemocomponentes que tenham sidos retirados da própria Agência;</w:t>
      </w:r>
      <w:r>
        <w:br/>
      </w:r>
      <w:r>
        <w:t xml:space="preserve">3- </w:t>
      </w:r>
      <w:r>
        <w:t>A devolução deverá vir do mesmo hospital/clínica que solicitou.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Tarefa 2</w:t>
      </w:r>
      <w:r>
        <w:t>: Selecionar tipo de hemocomponente a ser devolvido;</w:t>
      </w:r>
    </w:p>
    <w:p>
      <w:pPr>
        <w:pStyle w:val="ModelerNormal"/>
        <w:spacing w:afterAutospacing="1"/>
      </w:pPr>
      <w:r>
        <w:t>Observações:</w:t>
      </w:r>
    </w:p>
    <w:p>
      <w:pPr>
        <w:pStyle w:val="ModelerNormal"/>
        <w:spacing w:afterAutospacing="1"/>
      </w:pPr>
      <w:r>
        <w:t xml:space="preserve">1- </w:t>
      </w:r>
      <w:r>
        <w:t>Só serão aceitos os hemocomponentes de Concentrados de Hemácias (CH) e Concentrado de Plaquetas (CP);</w:t>
      </w:r>
    </w:p>
    <w:p>
      <w:pPr>
        <w:pStyle w:val="ModelerNormal"/>
        <w:spacing w:afterAutospacing="1"/>
      </w:pPr>
      <w:r>
        <w:t xml:space="preserve">2- </w:t>
      </w:r>
      <w:r>
        <w:t>Caso o hemocomponente seja: Plasma ou Crioprecipitado, o sistema emitirá um alerta informando que não serão aceitos para devolução, ficando na responsabilidade do hospital/Clínica, realizar seu descarte.</w:t>
      </w:r>
      <w:r>
        <w:br/>
      </w:r>
      <w:r>
        <w:t>Tarefa 3</w:t>
      </w:r>
      <w:r>
        <w:t>: Informar se a bolsa de hemocomponentes está dentro do prazo de devolução;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 xml:space="preserve">1- </w:t>
      </w:r>
      <w:r>
        <w:t>O prazo estipulado hoje pela Agência Transfusional é de no máximo 60 min para a devolução;</w:t>
      </w:r>
    </w:p>
    <w:p>
      <w:pPr>
        <w:pStyle w:val="ModelerNormal"/>
        <w:spacing w:afterAutospacing="1"/>
      </w:pPr>
      <w:r>
        <w:t xml:space="preserve">2- </w:t>
      </w:r>
      <w:r>
        <w:t>Esse tempo é contado desde a saída do hemocomponente da Agência Transfusional, devidamente registrado na etiqueta da bolsa e no protocolo de saída até o momento que ela retorna para a Agência;</w:t>
      </w:r>
    </w:p>
    <w:p>
      <w:pPr>
        <w:pStyle w:val="ModelerNormal"/>
        <w:spacing w:afterAutospacing="1"/>
      </w:pPr>
      <w:r>
        <w:t>3 - O prazo de 60 (sessenta) minutos é uma forma de assegurar que essa bolsa não seja acondicionada de qualquer jeito, podendo interferir na qualidade da bolsa;</w:t>
      </w:r>
    </w:p>
    <w:p>
      <w:pPr>
        <w:pStyle w:val="ModelerNormal"/>
        <w:spacing w:afterAutospacing="1"/>
      </w:pPr>
      <w:r>
        <w:t>4 - Caso o hospital/clínica possua Agência própria, realizando o armazenamento de forma adequada do hemocomponente, este poderá ser devolvido após o prazo de 60 min.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 xml:space="preserve">Tarefa 4: </w:t>
      </w:r>
      <w:r>
        <w:t>Informar validade da bolsa;</w:t>
      </w:r>
    </w:p>
    <w:p>
      <w:pPr>
        <w:pStyle w:val="ModelerNormal"/>
        <w:spacing w:afterAutospacing="1"/>
      </w:pPr>
      <w:r>
        <w:t>Obs.:</w:t>
      </w:r>
    </w:p>
    <w:p>
      <w:pPr>
        <w:pStyle w:val="ModelerNormal"/>
        <w:spacing w:afterAutospacing="1"/>
      </w:pPr>
      <w:r>
        <w:t>1 - Se a bolsa estiver com fora da validade, está não será aceita para devolução e o hospital/clínica ficará responsável pelo seu descarte;</w:t>
      </w:r>
    </w:p>
    <w:p>
      <w:pPr>
        <w:pStyle w:val="ModelerNormal"/>
        <w:spacing w:afterAutospacing="1"/>
      </w:pPr>
      <w:r>
        <w:t>2 - Se a validade da bolsa estiver em dia, está será aceita para devolução.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Tarefa 5:</w:t>
      </w:r>
      <w:r>
        <w:t xml:space="preserve"> Informar integridade física da bolsa;</w:t>
      </w:r>
    </w:p>
    <w:p>
      <w:pPr>
        <w:pStyle w:val="ModelerNormal"/>
        <w:spacing w:afterAutospacing="1"/>
      </w:pPr>
      <w:r>
        <w:t>Obs.:</w:t>
      </w:r>
    </w:p>
    <w:p>
      <w:pPr>
        <w:pStyle w:val="ModelerNormal"/>
        <w:spacing w:afterAutospacing="1"/>
      </w:pPr>
      <w:r>
        <w:t>1 - Se a bolsa está em boas condições físicas, se não possuí furo ou vazamento;</w:t>
      </w:r>
    </w:p>
    <w:p>
      <w:pPr>
        <w:pStyle w:val="ModelerNormal"/>
        <w:spacing w:afterAutospacing="1"/>
      </w:pPr>
      <w:r>
        <w:t>2 - Se a bolsa estiver qual sua integridade física inconforme, está não será aceita para devolução e o hospital/clínica ficará responsável pelo seu descarte;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 xml:space="preserve">Tarefa 6: </w:t>
      </w:r>
      <w:r>
        <w:t>Informar temperatura da bolsa;</w:t>
      </w:r>
    </w:p>
    <w:p>
      <w:pPr>
        <w:pStyle w:val="ModelerNormal"/>
        <w:spacing w:afterAutospacing="1"/>
      </w:pPr>
      <w:r>
        <w:t>Obs.:</w:t>
      </w:r>
    </w:p>
    <w:p>
      <w:pPr>
        <w:pStyle w:val="ModelerNormal"/>
        <w:spacing w:afterAutospacing="1"/>
      </w:pPr>
      <w:r>
        <w:t>1 - A bolsa de hemocomponente deverá está com a temperatura dentro dos padrões estabelecidos pela legislação vigente;</w:t>
      </w:r>
    </w:p>
    <w:p>
      <w:pPr>
        <w:pStyle w:val="ModelerNormal"/>
        <w:spacing w:afterAutospacing="1"/>
      </w:pPr>
      <w:r>
        <w:t>2 - Os concentrados de hemácias serão transportados de forma a assegurar a manutenção da temperatura entre 1ºC à 10ºC;</w:t>
      </w:r>
    </w:p>
    <w:p>
      <w:pPr>
        <w:pStyle w:val="ModelerNormal"/>
        <w:spacing w:afterAutospacing="1"/>
      </w:pPr>
      <w:r>
        <w:t>3 - Os concentrados de plaquetas serão conservados e transportados à temperatura de 20ºC à 24ºC;</w:t>
      </w:r>
    </w:p>
    <w:p>
      <w:pPr>
        <w:pStyle w:val="ModelerNormal"/>
        <w:spacing w:afterAutospacing="1"/>
      </w:pPr>
      <w:r>
        <w:t>4 - Se a bolsa estiver com a temperatura fora do padrão, está não será aceita para devolução e o hospital/clínica ficará responsável pelo seu descarte;</w:t>
      </w:r>
    </w:p>
    <w:p>
      <w:pPr>
        <w:pStyle w:val="ModelerNormal"/>
        <w:spacing w:afterAutospacing="1"/>
      </w:pPr>
      <w:r>
        <w:t>5 - Se a bolsa estiver com a temperatura no padrão, será enviada para Agência Transfusional;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Tarefa 7:</w:t>
      </w:r>
      <w:r>
        <w:t xml:space="preserve"> Enviar requerimento de devolução à Agência Transfusional;</w:t>
      </w:r>
    </w:p>
    <w:p>
      <w:pPr>
        <w:pStyle w:val="ModelerNormal"/>
        <w:spacing w:afterAutospacing="1"/>
      </w:pPr>
      <w:r>
        <w:t>Obs.:</w:t>
      </w:r>
    </w:p>
    <w:p>
      <w:pPr>
        <w:pStyle w:val="ModelerNormal"/>
        <w:spacing w:afterAutospacing="1"/>
      </w:pPr>
      <w:r>
        <w:t>1 - Após preenchimento do requerimento o Médico/Enfermeiro irá enviar através do sistema SIHRO a solicitação de devolução;</w:t>
      </w:r>
    </w:p>
    <w:p>
      <w:pPr>
        <w:pStyle w:val="ModelerNormal"/>
        <w:spacing w:afterAutospacing="1"/>
      </w:pPr>
      <w:r>
        <w:t>2 - Após o envio, a Agência Transfusional irá receber um alerta, notificando a solicitação de devolução.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Tarefa 8:</w:t>
      </w:r>
      <w:r>
        <w:t xml:space="preserve"> Aguardar retorno da Agência Transfusional informando se a bolsa será aceita ou não.</w:t>
      </w:r>
    </w:p>
    <w:p>
      <w:pPr>
        <w:pStyle w:val="ModelerNormal"/>
        <w:spacing w:afterAutospacing="1"/>
      </w:pPr>
      <w:r>
        <w:t>Obs.:</w:t>
      </w:r>
    </w:p>
    <w:p>
      <w:pPr>
        <w:pStyle w:val="ModelerNormal"/>
        <w:spacing w:afterAutospacing="1"/>
      </w:pPr>
      <w:r>
        <w:t>1 - Se a bolsa atender aos critérios de devolução da Agência Transfusional, o técnico dará o aceite no sistema SIHRO informando para o hospital/clínica que aceitou a devolução e que estará no aguardo da bolsa;</w:t>
      </w:r>
    </w:p>
    <w:p>
      <w:pPr>
        <w:pStyle w:val="ModelerNormal"/>
        <w:spacing w:afterAutospacing="1"/>
      </w:pPr>
      <w:r>
        <w:t>2 - Caso a bolsa não atenda aos critérios de devolução da Agência Transfusional, o técnico marcará a opção no sistema SIHRO que não aceitou a devolução da bosa e que o Hospital/Clínica ficará responsável pelo descarte dessa bolsa.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Por que essa atividade acontece?</w:t>
      </w:r>
      <w:r>
        <w:t> </w:t>
      </w:r>
    </w:p>
    <w:p>
      <w:pPr>
        <w:pStyle w:val="ModelerNormal"/>
        <w:spacing w:afterAutospacing="1"/>
      </w:pPr>
      <w:r>
        <w:t>Essa atividade acontece porque é necessário que o hospital/clínica possua um campo para registrar a solicitação de devolução e que a Agência tenha conhecimento da devolução antes da chegada do hemocomponente, para avaliação de aceitar ou recusar a devolução.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PORTARIA Nº 158, DE 04 DE FEVEREIRO DE 2016</w:t>
      </w:r>
    </w:p>
    <w:p>
      <w:pPr>
        <w:pStyle w:val="ModelerNormal"/>
        <w:spacing w:afterAutospacing="1"/>
      </w:pPr>
      <w:r>
        <w:t>DOU de 05/02/2016 (nº 25, Seção 1, pág. 37)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Redefine o regulamento técnico de procedimentos hemoterápicos.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Art. 189. </w:t>
      </w:r>
      <w:r>
        <w:t>Os componentes liberados para transfusão, mas não utilizados, podem ser reintegrados ao estoque se as condições de transporte e armazenamento forem conhecidas e adequadas, sendo que tais componentes devem ser submetidos à inspeção visual antes da reintegração.</w:t>
      </w:r>
    </w:p>
    <w:p>
      <w:pPr>
        <w:pStyle w:val="ModelerNormal"/>
        <w:spacing w:afterAutospacing="1"/>
      </w:pPr>
      <w:r>
        <w:t>§ 1º Não serão reintegradas ao estoque unidades violadas.</w:t>
      </w:r>
    </w:p>
    <w:p>
      <w:pPr>
        <w:pStyle w:val="ModelerNormal"/>
        <w:spacing w:afterAutospacing="1"/>
      </w:pPr>
      <w:r>
        <w:t>§ 2º O profissional do serviço de hemoterapia que receber a devolução de uma bolsa de componente sanguíneo não utilizada deverá inspecioná-la, retirar a identificação do receptor e registrar a devolução.</w:t>
      </w:r>
    </w:p>
    <w:p>
      <w:pPr>
        <w:pStyle w:val="ModelerNormal"/>
        <w:spacing w:afterAutospacing="1"/>
      </w:pPr>
      <w:r>
        <w:t>§ 3º São condições indispensáveis para que o componente sanguíneo possa ser reintegrado ao estoque:</w:t>
      </w:r>
    </w:p>
    <w:p>
      <w:pPr>
        <w:pStyle w:val="ModelerNormal"/>
        <w:spacing w:afterAutospacing="1"/>
      </w:pPr>
      <w:r>
        <w:t>I - o sistema de acondicionamento não estar aberto;</w:t>
      </w:r>
    </w:p>
    <w:p>
      <w:pPr>
        <w:pStyle w:val="ModelerNormal"/>
        <w:spacing w:afterAutospacing="1"/>
      </w:pPr>
      <w:r>
        <w:t>II - o componente ter sido mantido em temperatura apropriada durante todo o tempo de permanência fora do serviço de hemoterapia;</w:t>
      </w:r>
    </w:p>
    <w:p>
      <w:pPr>
        <w:pStyle w:val="ModelerNormal"/>
        <w:spacing w:afterAutospacing="1"/>
      </w:pPr>
      <w:r>
        <w:t>III - a trajetória da bolsa estar devidamente documentada;</w:t>
      </w:r>
    </w:p>
    <w:p>
      <w:pPr>
        <w:pStyle w:val="ModelerNormal"/>
        <w:spacing w:afterAutospacing="1"/>
      </w:pPr>
      <w:r>
        <w:t>IV - existir um segmento ou tubo conectado à bolsa de concentrado de hemácias de tamanho suficiente para permitir a realização de outros testes de compatibilidade; e</w:t>
      </w:r>
    </w:p>
    <w:p>
      <w:pPr>
        <w:pStyle w:val="ModelerNormal"/>
        <w:spacing w:afterAutospacing="1"/>
      </w:pPr>
      <w:r>
        <w:t>V- novo cumprimento dos requisitos que regem a liberação de toda unidade de sangue.</w:t>
      </w:r>
    </w:p>
    <w:p>
      <w:pPr>
        <w:pStyle w:val="ModelerNormal"/>
        <w:spacing w:afterAutospacing="1"/>
      </w:pPr>
      <w:r>
        <w:t> </w:t>
      </w:r>
    </w:p>
    <w:p>
      <w:pPr>
        <w:pStyle w:val="bizHeading2"/>
      </w:pPr>
      <w:bookmarkStart w:id="10" w:name="Id_325164f8750346b381bdc06642ab32bb"/>
      <w:bookmarkStart w:id="11" w:name="_Toc256000006"/>
      <w:r>
        <w:t>REINTEGRAÇÃO DA BOLSA À AGÊNCIA TRANSFUSIONAL</w:t>
      </w:r>
      <w:bookmarkEnd w:id="11"/>
    </w:p>
    <w:p>
      <w:pPr>
        <w:pStyle w:val="bizHeading3"/>
      </w:pPr>
      <w:bookmarkEnd w:id="10"/>
      <w:bookmarkStart w:id="12" w:name="_Toc256000007"/>
      <w:r>
        <w:t>Elementos do processo</w:t>
      </w:r>
      <w:bookmarkEnd w:id="12"/>
    </w:p>
    <w:p>
      <w:pPr>
        <w:pStyle w:val="bizHeading4"/>
      </w:pPr>
      <w:bookmarkStart w:id="13" w:name="_Toc256000008"/>
      <w:r>
        <w:drawing>
          <wp:inline>
            <wp:extent cx="152421" cy="152421"/>
            <wp:docPr id="180236210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212775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Verificar solicitação de devolução</w:t>
      </w:r>
      <w:bookmarkEnd w:id="13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No sistema SIHRO</w:t>
      </w:r>
      <w:r>
        <w:br/>
      </w:r>
      <w:r>
        <w:br/>
      </w:r>
      <w:r>
        <w:t>O que:</w:t>
      </w:r>
      <w:r>
        <w:t> Verificar solicitação de devolução</w:t>
      </w:r>
      <w:r>
        <w:br/>
      </w:r>
      <w:r>
        <w:br/>
      </w:r>
      <w:r>
        <w:t>Quando:</w:t>
      </w:r>
      <w:r>
        <w:br/>
      </w:r>
      <w:r>
        <w:br/>
      </w:r>
      <w:r>
        <w:t>Como</w:t>
      </w:r>
      <w:r>
        <w:br/>
      </w:r>
      <w:r>
        <w:t>Tarefa 1</w:t>
      </w:r>
      <w:r>
        <w:t>: Receber através do sistema SIHRO a notificação de solicitação de devolução de hemocomponentes enviada pelo Hospital/Clínica;</w:t>
      </w:r>
      <w:r>
        <w:br/>
      </w:r>
      <w:r>
        <w:t>Tarefa 2</w:t>
      </w:r>
      <w:r>
        <w:t>: Analisar a solicitação de devolução da bolsa de hemocomponentes enviada pelo Hospital/Clínica;</w:t>
      </w:r>
      <w:r>
        <w:br/>
      </w:r>
      <w:r>
        <w:t>Tarefa 3</w:t>
      </w:r>
      <w:r>
        <w:t>: Verificar qual o tipo de hemocomponente a ser devolvido;</w:t>
      </w:r>
      <w:r>
        <w:br/>
      </w:r>
      <w:r>
        <w:t>Observações:</w:t>
      </w:r>
      <w:r>
        <w:br/>
      </w:r>
      <w:r>
        <w:t>1 - Só serão aceitos os hemocomponentes de Concentrados de Hemácias (CH) e Concentrado de Plaquetas (CP);</w:t>
      </w:r>
      <w:r>
        <w:br/>
      </w:r>
      <w:r>
        <w:t xml:space="preserve">2 - </w:t>
      </w:r>
      <w:r>
        <w:t>Caso o hemocomponente informado seja, Plasma ou Crioprecipitado, esses não serão aceitos para devolução, ficando na responsabilidade do hospital/Clínica, realizar seu descarte.</w:t>
      </w:r>
      <w:r>
        <w:br/>
      </w:r>
      <w:r>
        <w:t>Tarefa 4</w:t>
      </w:r>
      <w:r>
        <w:t>: Verificar se a bolsa de hemocomponentes está dentro do prazo de devolução;</w:t>
      </w:r>
    </w:p>
    <w:p>
      <w:pPr>
        <w:pStyle w:val="ModelerNormal"/>
        <w:spacing w:afterAutospacing="1"/>
      </w:pPr>
      <w:r>
        <w:t>Observações:</w:t>
      </w:r>
    </w:p>
    <w:p>
      <w:pPr>
        <w:pStyle w:val="ModelerNormal"/>
        <w:spacing w:afterAutospacing="1"/>
      </w:pPr>
      <w:r>
        <w:t xml:space="preserve">1 - </w:t>
      </w:r>
      <w:r>
        <w:t>O prazo estipulado hoje pela Agência Transfusional é de no máximo 60 min para a devolução;</w:t>
      </w:r>
    </w:p>
    <w:p>
      <w:pPr>
        <w:pStyle w:val="ModelerNormal"/>
        <w:spacing w:afterAutospacing="1"/>
      </w:pPr>
      <w:r>
        <w:t xml:space="preserve">2- </w:t>
      </w:r>
      <w:r>
        <w:t>Esse tempo é contado desde a saída do hemocomponente da Agência Transfusional, devidamente registrado na etiqueta da bolsa e no protocolo de saída até o momento que ela retorna para a Agência;</w:t>
      </w:r>
      <w:r>
        <w:br/>
      </w:r>
      <w:r>
        <w:t xml:space="preserve">3- </w:t>
      </w:r>
      <w:r>
        <w:t>O prazo de 60 (sessenta) minutos é uma forma de assegurar que essa bolsa não seja acondicionada de qualquer jeito, podendo interferir na qualidade da bolsa;</w:t>
      </w:r>
      <w:r>
        <w:br/>
      </w:r>
      <w:r>
        <w:t xml:space="preserve">4- </w:t>
      </w:r>
      <w:r>
        <w:t>Caso o hospital/clínica possua Agência própria, realizando o armazenamento de forma adequada do hemocomponente, este poderá ser devolvido após o prazo de 60 min.</w:t>
      </w:r>
      <w:r>
        <w:br/>
      </w:r>
      <w:r>
        <w:t xml:space="preserve">Tarefa 5: </w:t>
      </w:r>
      <w:r>
        <w:t>Verificar a validade da bolsa;</w:t>
      </w:r>
      <w:r>
        <w:br/>
      </w:r>
      <w:r>
        <w:t>Observação:</w:t>
      </w:r>
      <w:r>
        <w:br/>
      </w:r>
      <w:r>
        <w:t xml:space="preserve">1- </w:t>
      </w:r>
      <w:r>
        <w:t>Se a bolsa estiver com a validade vencida, esta não será aceita para devolução;</w:t>
      </w:r>
      <w:r>
        <w:br/>
      </w:r>
      <w:r>
        <w:t>Tarefa 6:</w:t>
      </w:r>
      <w:r>
        <w:t xml:space="preserve"> Informar ao Hospital/Clínica se a bolsa será aceita ou não.</w:t>
      </w:r>
      <w:r>
        <w:br/>
      </w:r>
      <w:r>
        <w:t>Observações:</w:t>
      </w:r>
      <w:r>
        <w:br/>
      </w:r>
      <w:r>
        <w:t xml:space="preserve">1- </w:t>
      </w:r>
      <w:r>
        <w:t>Se a bolsa atender aos critérios de devolução da Agência Transfusional, o técnico dará o aceite no sistema SIHRO informando para o hospital/clínica que aceitou a devolução e que estará no aguardo da bolsa;</w:t>
      </w:r>
      <w:r>
        <w:br/>
      </w:r>
      <w:r>
        <w:t xml:space="preserve">2- </w:t>
      </w:r>
      <w:r>
        <w:t>Caso a bolsa não atenda aos critérios de devolução da Agência Transfusional, o técnico marcará a opção no sistema SIHRO que não aceitou sua devolução e que o Hospital/Clínica ficará responsável pelo descarte.</w:t>
      </w:r>
      <w:r>
        <w:br/>
      </w:r>
      <w:r>
        <w:br/>
      </w:r>
      <w:r>
        <w:t>Por que essa atividade acontece?</w:t>
      </w:r>
      <w:r>
        <w:t> </w:t>
      </w:r>
    </w:p>
    <w:p>
      <w:pPr>
        <w:pStyle w:val="ModelerNormal"/>
        <w:spacing w:afterAutospacing="1"/>
      </w:pPr>
      <w:r>
        <w:t>Essa atividade acontece porque é necessário verificar qual o tipo de hemocomponente a ser devolvido, o tempo que essa bolsa ficou fora da Agência Transfusional e se ela se encontra em boas condições para devolução.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PORTARIA Nº 158, DE 04 DE FEVEREIRO DE 2016</w:t>
      </w:r>
    </w:p>
    <w:p>
      <w:pPr>
        <w:pStyle w:val="ModelerNormal"/>
        <w:spacing w:afterAutospacing="1"/>
      </w:pPr>
      <w:r>
        <w:t>DOU de 05/02/2016 (nº 25, Seção 1, pág. 37)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Redefine o regulamento técnico de procedimentos hemoterápicos. </w:t>
      </w:r>
    </w:p>
    <w:p>
      <w:pPr>
        <w:pStyle w:val="ModelerNormal"/>
        <w:spacing w:afterAutospacing="1"/>
      </w:pPr>
      <w:r>
        <w:t> </w:t>
      </w:r>
      <w:r>
        <w:br/>
      </w:r>
      <w:r>
        <w:t>Art. 189. Os componentes liberados para transfusão, mas não utilizados, podem ser reintegrados ao estoque se as condições de transporte e armazenamento forem conhecidas e adequadas, sendo que tais componentes devem ser submetidos à inspeção visual antes da reintegração.</w:t>
      </w:r>
      <w:r>
        <w:br/>
      </w:r>
      <w:r>
        <w:t>§ 1º Não serão reintegradas ao estoque unidades violadas.</w:t>
      </w:r>
      <w:r>
        <w:br/>
      </w:r>
      <w:r>
        <w:t>§ 2º O profissional do serviço de hemoterapia que receber a devolução de uma bolsa de componente sanguíneo não utilizada deverá inspecioná-la, retirar a identificação do receptor e registrar a devolução.</w:t>
      </w:r>
      <w:r>
        <w:br/>
      </w:r>
      <w:r>
        <w:t>§ 3º São condições indispensáveis para que o componente sanguíneo possa ser reintegrado ao estoque:</w:t>
      </w:r>
      <w:r>
        <w:br/>
      </w:r>
      <w:r>
        <w:t>I - o sistema de acondicionamento não estar aberto;</w:t>
      </w:r>
      <w:r>
        <w:br/>
      </w:r>
      <w:r>
        <w:t>II - o componente ter sido mantido em temperatura apropriada durante todo o tempo de permanência fora do serviço de hemoterapia;</w:t>
      </w:r>
      <w:r>
        <w:br/>
      </w:r>
      <w:r>
        <w:t>III - a trajetória da bolsa estar devidamente documentada;</w:t>
      </w:r>
      <w:r>
        <w:br/>
      </w:r>
      <w:r>
        <w:t>IV - existir um segmento ou tubo conectado à bolsa de concentrado de hemácias de tamanho suficiente para permitir a realização de outros testes de compatibilidade; e</w:t>
      </w:r>
      <w:r>
        <w:br/>
      </w:r>
      <w:r>
        <w:t>V- novo cumprimento dos requisitos que regem a liberação de toda unidade de sangue.</w:t>
      </w:r>
    </w:p>
    <w:p>
      <w:pPr>
        <w:pStyle w:val="bizHeading4"/>
      </w:pPr>
      <w:bookmarkStart w:id="14" w:name="_Toc256000009"/>
      <w:r>
        <w:drawing>
          <wp:inline>
            <wp:extent cx="152421" cy="152421"/>
            <wp:docPr id="112472702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283600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Receber a bolsa</w:t>
      </w:r>
      <w:bookmarkEnd w:id="14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No sistema SIHRO</w:t>
      </w:r>
      <w:r>
        <w:br/>
      </w:r>
      <w:r>
        <w:br/>
      </w:r>
      <w:r>
        <w:t>O que:</w:t>
      </w:r>
      <w:r>
        <w:t xml:space="preserve"> Receber a bolsa</w:t>
      </w:r>
      <w:r>
        <w:br/>
      </w:r>
      <w:r>
        <w:br/>
      </w:r>
      <w:r>
        <w:t xml:space="preserve">Quando: </w:t>
      </w:r>
      <w:r>
        <w:t>Se a bolsa estiver dentro dos padrões estabelecidos pela Agência Transfusional para devolução</w:t>
      </w:r>
      <w:r>
        <w:br/>
      </w:r>
      <w:r>
        <w:br/>
      </w:r>
      <w:r>
        <w:t>Como</w:t>
      </w:r>
      <w:r>
        <w:br/>
      </w:r>
      <w:r>
        <w:t>Tarefa 1</w:t>
      </w:r>
      <w:r>
        <w:t>: Receber a bolsa de hemocomponentes;</w:t>
      </w:r>
      <w:r>
        <w:br/>
      </w:r>
      <w:r>
        <w:t>Observações:</w:t>
      </w:r>
      <w:r>
        <w:br/>
      </w:r>
      <w:r>
        <w:t xml:space="preserve">1- </w:t>
      </w:r>
      <w:r>
        <w:t>O técnico da Agência irá receber do responsável pelo transporte da bolsa uma caixa térmica contendo a bolsa de hemocomponente;</w:t>
      </w:r>
    </w:p>
    <w:p>
      <w:pPr>
        <w:pStyle w:val="ModelerNormal"/>
        <w:spacing w:afterAutospacing="1"/>
      </w:pPr>
      <w:r>
        <w:t xml:space="preserve">2- </w:t>
      </w:r>
      <w:r>
        <w:t>Ele irá retirar a etiqueta de transfusão contida na bolsa;</w:t>
      </w:r>
    </w:p>
    <w:p>
      <w:pPr>
        <w:pStyle w:val="ModelerNormal"/>
        <w:spacing w:afterAutospacing="1"/>
      </w:pPr>
      <w:r>
        <w:t xml:space="preserve">3- </w:t>
      </w:r>
      <w:r>
        <w:t>Marcará a opção de bolsa não utilizada;</w:t>
      </w:r>
    </w:p>
    <w:p>
      <w:pPr>
        <w:pStyle w:val="ModelerNormal"/>
        <w:spacing w:afterAutospacing="1"/>
      </w:pPr>
      <w:r>
        <w:t xml:space="preserve">4 - </w:t>
      </w:r>
      <w:r>
        <w:t>Informará a data e o horário de devolução na etiqueta da bolsa;</w:t>
      </w:r>
    </w:p>
    <w:p>
      <w:pPr>
        <w:pStyle w:val="ModelerNormal"/>
        <w:spacing w:afterAutospacing="1"/>
      </w:pPr>
      <w:r>
        <w:t>5-</w:t>
      </w:r>
      <w:r>
        <w:t xml:space="preserve"> Ele deverá anexar este documento ao cadastro do receptor no sistema SIHRO;</w:t>
      </w:r>
    </w:p>
    <w:p>
      <w:pPr>
        <w:pStyle w:val="ModelerNormal"/>
        <w:spacing w:afterAutospacing="1"/>
      </w:pPr>
      <w:r>
        <w:t xml:space="preserve">6- </w:t>
      </w:r>
      <w:r>
        <w:t>Seguem abaixo, imagens 1, 2, e 3 do modelo de etiqueta da bolsa.</w:t>
      </w:r>
      <w:r>
        <w:br/>
      </w:r>
      <w:r>
        <w:t>Tarefa 2</w:t>
      </w:r>
      <w:r>
        <w:t>: Realizar registro da bolsa não utilizada no sistema SIHRO, vinculado ao cadastro do receptor.</w:t>
      </w:r>
    </w:p>
    <w:p>
      <w:pPr>
        <w:pStyle w:val="ModelerNormal"/>
        <w:spacing w:afterAutospacing="1"/>
      </w:pPr>
      <w:r>
        <w:t>Observalções:</w:t>
      </w:r>
    </w:p>
    <w:p>
      <w:pPr>
        <w:pStyle w:val="ModelerNormal"/>
        <w:spacing w:afterAutospacing="1"/>
      </w:pPr>
      <w:r>
        <w:t>1-</w:t>
      </w:r>
      <w:r>
        <w:t xml:space="preserve"> Informar qual o Hospital/Clínica solicitante;</w:t>
      </w:r>
    </w:p>
    <w:p>
      <w:pPr>
        <w:pStyle w:val="ModelerNormal"/>
        <w:spacing w:afterAutospacing="1"/>
      </w:pPr>
      <w:r>
        <w:t xml:space="preserve">2- </w:t>
      </w:r>
      <w:r>
        <w:t>Data da devolução;</w:t>
      </w:r>
    </w:p>
    <w:p>
      <w:pPr>
        <w:pStyle w:val="ModelerNormal"/>
        <w:spacing w:afterAutospacing="1"/>
      </w:pPr>
      <w:r>
        <w:t xml:space="preserve">3- </w:t>
      </w:r>
      <w:r>
        <w:t>Horário da devolução;</w:t>
      </w:r>
    </w:p>
    <w:p>
      <w:pPr>
        <w:pStyle w:val="ModelerNormal"/>
        <w:spacing w:afterAutospacing="1"/>
      </w:pPr>
      <w:r>
        <w:t xml:space="preserve">4- </w:t>
      </w:r>
      <w:r>
        <w:t>Tipo de hemocomponente devolvido;</w:t>
      </w:r>
    </w:p>
    <w:p>
      <w:pPr>
        <w:pStyle w:val="ModelerNormal"/>
        <w:spacing w:afterAutospacing="1"/>
      </w:pPr>
      <w:r>
        <w:t xml:space="preserve">5- </w:t>
      </w:r>
      <w:r>
        <w:t>Número da bolsa devolvida;</w:t>
      </w:r>
    </w:p>
    <w:p>
      <w:pPr>
        <w:pStyle w:val="ModelerNormal"/>
        <w:spacing w:afterAutospacing="1"/>
      </w:pPr>
      <w:r>
        <w:t xml:space="preserve">6- </w:t>
      </w:r>
      <w:r>
        <w:t>Segue abaixo, modelo na imagem 04 do registro da bolsa no livro.</w:t>
      </w:r>
      <w:r>
        <w:br/>
      </w:r>
      <w:r>
        <w:br/>
      </w:r>
      <w:r>
        <w:t>Por que essa atividade acontece?</w:t>
      </w:r>
      <w:r>
        <w:t> </w:t>
      </w:r>
      <w:r>
        <w:br/>
      </w:r>
      <w:r>
        <w:t>Essa atividade acontece porque é necessário receber a bolsa que está sendo devolvida a Agência Transfusional, que não foi utilizada para transfusão.</w:t>
      </w:r>
      <w:r>
        <w:t xml:space="preserve"> </w:t>
      </w:r>
      <w:r>
        <w:br/>
      </w:r>
      <w:r>
        <w:br/>
      </w:r>
      <w:r>
        <w:t>Imagem 01 - Etiqueta da bolsa:</w:t>
      </w:r>
    </w:p>
    <w:p>
      <w:pPr>
        <w:pStyle w:val="ModelerNormal"/>
        <w:spacing w:afterAutospacing="1"/>
      </w:pPr>
      <w:r>
        <w:drawing>
          <wp:inline>
            <wp:extent cx="4505325" cy="7562850"/>
            <wp:docPr id="10001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034722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505325" cy="756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t>Imagem 02 - Etiqueta da bolsa:</w:t>
      </w:r>
    </w:p>
    <w:p>
      <w:pPr>
        <w:pStyle w:val="ModelerNormal"/>
        <w:spacing w:afterAutospacing="1"/>
      </w:pPr>
      <w:r>
        <w:drawing>
          <wp:inline>
            <wp:extent cx="4486275" cy="7410450"/>
            <wp:docPr id="10001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773829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486275" cy="741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t>Imagem 03 - Etiqueta da bolsa:</w:t>
      </w:r>
    </w:p>
    <w:p>
      <w:pPr>
        <w:pStyle w:val="ModelerNormal"/>
        <w:spacing w:afterAutospacing="1"/>
      </w:pPr>
      <w:r>
        <w:drawing>
          <wp:inline>
            <wp:extent cx="4457700" cy="3857625"/>
            <wp:docPr id="10001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103157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385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Imagem 04 - Registro da bolsa no Livro de Devolução e Reintegração de Hemocomponentes:</w:t>
      </w:r>
    </w:p>
    <w:p>
      <w:pPr>
        <w:pStyle w:val="ModelerNormal"/>
        <w:spacing w:afterAutospacing="1"/>
      </w:pPr>
      <w:r>
        <w:drawing>
          <wp:inline>
            <wp:extent cx="6591300" cy="704850"/>
            <wp:docPr id="10001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125556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59130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t> </w:t>
      </w:r>
    </w:p>
    <w:p>
      <w:pPr>
        <w:pStyle w:val="bizHeading4"/>
      </w:pPr>
      <w:bookmarkStart w:id="15" w:name="_Toc256000010"/>
      <w:r>
        <w:drawing>
          <wp:inline>
            <wp:extent cx="152421" cy="152421"/>
            <wp:docPr id="63007479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502118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Registrar análise da bolsa</w:t>
      </w:r>
      <w:bookmarkEnd w:id="15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No sistema SIHRO</w:t>
      </w:r>
      <w:r>
        <w:br/>
      </w:r>
      <w:r>
        <w:br/>
      </w:r>
      <w:r>
        <w:t>O que:</w:t>
      </w:r>
      <w:r>
        <w:t xml:space="preserve"> Registrar análise da bolsa</w:t>
      </w:r>
      <w:r>
        <w:br/>
      </w:r>
      <w:r>
        <w:br/>
      </w:r>
      <w:r>
        <w:t>Quando:</w:t>
      </w:r>
      <w:r>
        <w:t xml:space="preserve"> </w:t>
      </w:r>
      <w:r>
        <w:br/>
      </w:r>
      <w:r>
        <w:br/>
      </w:r>
      <w:r>
        <w:t>Como</w:t>
      </w:r>
      <w:r>
        <w:br/>
      </w:r>
      <w:r>
        <w:t>Tarefa 1</w:t>
      </w:r>
      <w:r>
        <w:t>: Iniciar avaliação da bolsa de hemocomponente e registrar resultados no sistema SIHRO;</w:t>
      </w:r>
    </w:p>
    <w:p>
      <w:pPr>
        <w:pStyle w:val="ModelerNormal"/>
        <w:spacing w:afterAutospacing="1"/>
      </w:pPr>
      <w:r>
        <w:t>Observação:</w:t>
      </w:r>
      <w:r>
        <w:br/>
      </w:r>
      <w:r>
        <w:t xml:space="preserve">1- </w:t>
      </w:r>
      <w:r>
        <w:t>Nesta atividade o técnico da Agência irá realizar a avaliação da bolsa de acordo com um checklist e registrará no sistema SIHRO o resultado da avaliação.</w:t>
      </w:r>
      <w:r>
        <w:br/>
      </w:r>
      <w:r>
        <w:t>Tarefa 2:</w:t>
      </w:r>
      <w:r>
        <w:t xml:space="preserve"> Informar motivo da devolução;</w:t>
      </w:r>
    </w:p>
    <w:p>
      <w:pPr>
        <w:pStyle w:val="ModelerNormal"/>
        <w:spacing w:afterAutospacing="1"/>
      </w:pPr>
      <w:r>
        <w:t>Observação</w:t>
      </w:r>
      <w:r>
        <w:br/>
      </w:r>
      <w:r>
        <w:t xml:space="preserve">1- </w:t>
      </w:r>
      <w:r>
        <w:t>() Não utilizada em Cirurgia;</w:t>
      </w:r>
      <w:r>
        <w:br/>
      </w:r>
      <w:r>
        <w:t xml:space="preserve">2- </w:t>
      </w:r>
      <w:r>
        <w:t>() Suspensão da Cirurgia;</w:t>
      </w:r>
      <w:r>
        <w:br/>
      </w:r>
      <w:r>
        <w:t xml:space="preserve">3- </w:t>
      </w:r>
      <w:r>
        <w:t>() Reação Transfusional;</w:t>
      </w:r>
      <w:r>
        <w:br/>
      </w:r>
      <w:r>
        <w:t>4 -</w:t>
      </w:r>
      <w:r>
        <w:t xml:space="preserve"> () Óbito do Paciente;</w:t>
      </w:r>
      <w:r>
        <w:br/>
      </w:r>
      <w:r>
        <w:t xml:space="preserve">5 - </w:t>
      </w:r>
      <w:r>
        <w:t>() Outros.</w:t>
      </w:r>
      <w:r>
        <w:br/>
      </w:r>
      <w:r>
        <w:t xml:space="preserve">Tarefa 6: </w:t>
      </w:r>
      <w:r>
        <w:t>Informar se possui integridade física;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 xml:space="preserve">1 - </w:t>
      </w:r>
      <w:r>
        <w:t>() Sim ou () Não;</w:t>
      </w:r>
      <w:r>
        <w:br/>
      </w:r>
      <w:r>
        <w:t xml:space="preserve">2 - </w:t>
      </w:r>
      <w:r>
        <w:t>Se a bolsa não possuir integridade física, ela deverá ser expurgada;</w:t>
      </w:r>
      <w:r>
        <w:br/>
      </w:r>
      <w:r>
        <w:t>3 -</w:t>
      </w:r>
      <w:r>
        <w:t xml:space="preserve"> Se a bolsa possuir integridade física, ela passará pelas demais avaliações.</w:t>
      </w:r>
      <w:r>
        <w:br/>
      </w:r>
      <w:r>
        <w:t>Tarefa 3:</w:t>
      </w:r>
      <w:r>
        <w:t> Medir temperatura da bolsa;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 xml:space="preserve">1- </w:t>
      </w:r>
      <w:r>
        <w:t>O técnico irá verificar se a bolsa de hemocomponente possui condições adequadas de temperatura;</w:t>
      </w:r>
      <w:r>
        <w:br/>
      </w:r>
      <w:r>
        <w:t xml:space="preserve">2- </w:t>
      </w:r>
      <w:r>
        <w:t>Os concentrados de hemácias serão transportados de forma a assegurar a manutenção da temperatura entre 1ºC à 10ºC;</w:t>
      </w:r>
      <w:r>
        <w:br/>
      </w:r>
      <w:r>
        <w:t xml:space="preserve">3- </w:t>
      </w:r>
      <w:r>
        <w:t>Os concentrados de plaquetas serão conservados e transportados à temperatura de 20ºC à 24ºC;</w:t>
      </w:r>
      <w:r>
        <w:br/>
      </w:r>
      <w:r>
        <w:t xml:space="preserve">4- </w:t>
      </w:r>
      <w:r>
        <w:t>Se a bolsa de hemocomponente estiver com a temperatura fora do padrão e ela for considerada especial (hemocomponentes raros ou de baixo estoque), estando com as demais analises tudo correto, será feito os registros no sistema e encaminhado ao setor de Controle de Qualidade, para verificação de sua qualidade;</w:t>
      </w:r>
      <w:r>
        <w:br/>
      </w:r>
      <w:r>
        <w:t xml:space="preserve">5- </w:t>
      </w:r>
      <w:r>
        <w:t>As bolsas que serão analisadas pelo Controle de Qualidade serão (devido a temperatura inconforme):</w:t>
      </w:r>
      <w:r>
        <w:t> </w:t>
      </w:r>
      <w:r>
        <w:br/>
      </w:r>
      <w:r>
        <w:t>- Concentrado de Hemácias;</w:t>
      </w:r>
      <w:r>
        <w:br/>
      </w:r>
      <w:r>
        <w:t>- Concentrado de Hemácias Filtradas;</w:t>
      </w:r>
      <w:r>
        <w:br/>
      </w:r>
      <w:r>
        <w:t>- Concentrado de Plaquetas.</w:t>
      </w:r>
      <w:r>
        <w:br/>
      </w:r>
      <w:r>
        <w:t xml:space="preserve">Tarefa 4: </w:t>
      </w:r>
      <w:r>
        <w:t>Realizar inspeção visual para verificar se a bolsa de concentrado de hemácias (normais e/ou filtradas) e/ou concentrado de plaquetas apresentam:</w:t>
      </w:r>
      <w:r>
        <w:br/>
      </w:r>
      <w:r>
        <w:t>· Lipemia; </w:t>
      </w:r>
      <w:r>
        <w:br/>
      </w:r>
      <w:r>
        <w:t>· Alteração de cor;</w:t>
      </w:r>
      <w:r>
        <w:br/>
      </w:r>
      <w:r>
        <w:t>· Presença de grumos;</w:t>
      </w:r>
      <w:r>
        <w:br/>
      </w:r>
      <w:r>
        <w:t>· Presença de vazamento;</w:t>
      </w:r>
      <w:r>
        <w:br/>
      </w:r>
      <w:r>
        <w:t>· Presença de Swirling.</w:t>
      </w:r>
    </w:p>
    <w:p>
      <w:pPr>
        <w:pStyle w:val="ModelerNormal"/>
        <w:spacing w:afterAutospacing="1"/>
      </w:pPr>
      <w:r>
        <w:t>Observações</w:t>
      </w:r>
      <w:r>
        <w:br/>
      </w:r>
      <w:r>
        <w:t xml:space="preserve">1 - </w:t>
      </w:r>
      <w:r>
        <w:t>Caso a bolsa apresente grumos e/ou vazamento e/ou não contenha presença de swirling a bolsa será considerada inconforme e o técnico da Agência fará o registro do expurgo e descarte imediatamente; </w:t>
      </w:r>
      <w:r>
        <w:t> </w:t>
      </w:r>
      <w:r>
        <w:br/>
      </w:r>
      <w:r>
        <w:t xml:space="preserve">2 - </w:t>
      </w:r>
      <w:r>
        <w:t>No caso de apresentar lipemia e/ou alteração de cor a bolsa será examinada normalmente;</w:t>
      </w:r>
      <w:r>
        <w:br/>
      </w:r>
      <w:r>
        <w:t xml:space="preserve">3 - </w:t>
      </w:r>
      <w:r>
        <w:t>Caso a inspeção visual esteja com tudo conforme, o técnico dará continuidade nos testes para reintegração;</w:t>
      </w:r>
      <w:r>
        <w:br/>
      </w:r>
      <w:r>
        <w:t xml:space="preserve">4 - </w:t>
      </w:r>
      <w:r>
        <w:t>Em casos de temperatura a baixo do padrão e a bolsa estando conforme na inspeção visual, ela será encaminhada ao setor de Controle de Qualidade;</w:t>
      </w:r>
      <w:r>
        <w:br/>
      </w:r>
      <w:r>
        <w:t xml:space="preserve">5 - </w:t>
      </w:r>
      <w:r>
        <w:t>Caso a temperatura esteja fora do padrão e a bolsa não esteja conforme na inspeção visual, ela será expurgada.</w:t>
      </w:r>
      <w:r>
        <w:br/>
      </w:r>
      <w:r>
        <w:t>Tarefa 5:</w:t>
      </w:r>
      <w:r>
        <w:t xml:space="preserve"> Informar se o macarrão possui tamanho suficiente para permitir a realização de outros testes de compatibilidade;</w:t>
      </w:r>
    </w:p>
    <w:p>
      <w:pPr>
        <w:pStyle w:val="ModelerNormal"/>
        <w:spacing w:afterAutospacing="1"/>
      </w:pPr>
      <w:r>
        <w:t>Observação:</w:t>
      </w:r>
    </w:p>
    <w:p>
      <w:pPr>
        <w:pStyle w:val="ModelerNormal"/>
        <w:spacing w:afterAutospacing="1"/>
      </w:pPr>
      <w:r>
        <w:t xml:space="preserve">1- </w:t>
      </w:r>
      <w:r>
        <w:t>() Sim ou () Não.</w:t>
      </w:r>
      <w:r>
        <w:br/>
      </w:r>
      <w:r>
        <w:t>Tarefa 7:</w:t>
      </w:r>
      <w:r>
        <w:t xml:space="preserve"> Realizar teste de hemólise;</w:t>
      </w:r>
    </w:p>
    <w:p>
      <w:pPr>
        <w:pStyle w:val="ModelerNormal"/>
        <w:spacing w:afterAutospacing="1"/>
      </w:pPr>
      <w:r>
        <w:t>Observações:</w:t>
      </w:r>
    </w:p>
    <w:p>
      <w:pPr>
        <w:pStyle w:val="ModelerNormal"/>
        <w:spacing w:afterAutospacing="1"/>
      </w:pPr>
      <w:r>
        <w:t>Assinalar as seguintes informações:</w:t>
      </w:r>
      <w:r>
        <w:br/>
      </w:r>
      <w:r>
        <w:t xml:space="preserve">1 - </w:t>
      </w:r>
      <w:r>
        <w:t>Para verificar se possui hemólise: () Sim ou () Não.</w:t>
      </w:r>
      <w:r>
        <w:br/>
      </w:r>
      <w:r>
        <w:t xml:space="preserve">2 - </w:t>
      </w:r>
      <w:r>
        <w:t>Se apresentar hemólise a bolsa será expurgada;</w:t>
      </w:r>
      <w:r>
        <w:br/>
      </w:r>
      <w:r>
        <w:t xml:space="preserve">3 - </w:t>
      </w:r>
      <w:r>
        <w:t>Se não apresentar hemólise a bolsa seguirá para os demais teste.</w:t>
      </w:r>
    </w:p>
    <w:p>
      <w:pPr>
        <w:pStyle w:val="ModelerNormal"/>
        <w:spacing w:afterAutospacing="1"/>
      </w:pPr>
      <w:r>
        <w:t>Tarefa 7:</w:t>
      </w:r>
      <w:r>
        <w:t xml:space="preserve"> Informar qual será o destino da bolsa;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 xml:space="preserve">1 - </w:t>
      </w:r>
      <w:r>
        <w:t>() Descarte (expurgo);</w:t>
      </w:r>
    </w:p>
    <w:p>
      <w:pPr>
        <w:pStyle w:val="ModelerNormal"/>
        <w:spacing w:afterAutospacing="1"/>
      </w:pPr>
      <w:r>
        <w:t xml:space="preserve">2 - </w:t>
      </w:r>
      <w:r>
        <w:t>() Reintegração.</w:t>
      </w:r>
    </w:p>
    <w:p>
      <w:pPr>
        <w:pStyle w:val="ModelerNormal"/>
        <w:spacing w:afterAutospacing="1"/>
      </w:pPr>
      <w:r>
        <w:t xml:space="preserve">3- </w:t>
      </w:r>
      <w:r>
        <w:t>Caso a bolsa esteja conforme, antes de ser reintegrada ao estoque da Agência Transfusional, ela precisará passar por uma quarentena de 6h para CH e 01h para CP;</w:t>
      </w:r>
      <w:r>
        <w:br/>
      </w:r>
      <w:r>
        <w:t>Tarefa 7:</w:t>
      </w:r>
      <w:r>
        <w:t xml:space="preserve"> Assinar no sistema SIHRO resultado dos testes.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>1-</w:t>
      </w:r>
      <w:r>
        <w:t xml:space="preserve"> O técnico que recebeu e avaliou a bolsa de hemocomponente, deverá assinar no sistema SIHRO ao final da avaliação e dos registros realizados;</w:t>
      </w:r>
      <w:r>
        <w:br/>
      </w:r>
      <w:r>
        <w:t xml:space="preserve">2 - </w:t>
      </w:r>
      <w:r>
        <w:t>Abaixo está a imagem do checklist do livro como modelo;</w:t>
      </w:r>
      <w:r>
        <w:br/>
      </w:r>
      <w:r>
        <w:t xml:space="preserve">3 - </w:t>
      </w:r>
      <w:r>
        <w:t>Todos os resultados dos testes realizados na bolsa, deverão ser registrados no sistema SIHRO antes de seguir o seu próximo destino.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que a bolsa de hemocomponente devolvida passe por uma avaliação para verificar se ela irá retornar ao estoque da Agência ou se será expurgada.</w:t>
      </w:r>
    </w:p>
    <w:p>
      <w:pPr>
        <w:pStyle w:val="ModelerNormal"/>
        <w:spacing w:afterAutospacing="1"/>
      </w:pPr>
      <w:r>
        <w:drawing>
          <wp:inline>
            <wp:extent cx="5612130" cy="2164679"/>
            <wp:docPr id="10001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10469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164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izHeading4"/>
      </w:pPr>
      <w:bookmarkStart w:id="16" w:name="_Toc256000011"/>
      <w:r>
        <w:drawing>
          <wp:inline>
            <wp:extent cx="152421" cy="152421"/>
            <wp:docPr id="29460454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053109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Solicitar validação de hemocomponente</w:t>
      </w:r>
      <w:bookmarkEnd w:id="16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> No sistema SIHRO</w:t>
      </w:r>
      <w:r>
        <w:br/>
      </w:r>
      <w:r>
        <w:br/>
      </w:r>
      <w:r>
        <w:t>O que:</w:t>
      </w:r>
      <w:r>
        <w:t> </w:t>
      </w:r>
      <w:r>
        <w:t>Solicitar</w:t>
      </w:r>
      <w:r>
        <w:t> validação de hemocomponente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</w:t>
      </w:r>
      <w:r>
        <w:t> </w:t>
      </w:r>
      <w:r>
        <w:t>Solicitar validação de hemocomponente ao Controle de Qualidade;</w:t>
      </w:r>
      <w:r>
        <w:br/>
      </w:r>
      <w:r>
        <w:t xml:space="preserve">1 - </w:t>
      </w:r>
      <w:r>
        <w:t>Nesta aba terá a opção de validar;</w:t>
      </w:r>
      <w:r>
        <w:br/>
      </w:r>
      <w:r>
        <w:t xml:space="preserve">2 - </w:t>
      </w:r>
      <w:r>
        <w:t>Após clicar na opção, informará qual tipo de hemocomponente é para validação;</w:t>
      </w:r>
      <w:r>
        <w:br/>
      </w:r>
      <w:r>
        <w:t xml:space="preserve">3 - </w:t>
      </w:r>
      <w:r>
        <w:t>O sistema terá uma campo de observação, caso necessário.</w:t>
      </w:r>
      <w:r>
        <w:br/>
      </w:r>
      <w:r>
        <w:t>Tarefa 2:</w:t>
      </w:r>
      <w:r>
        <w:t> Preencher campos de informações da bolsa;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 xml:space="preserve">1- </w:t>
      </w:r>
      <w:r>
        <w:t>Preencher numeração da bolsa;</w:t>
      </w:r>
      <w:r>
        <w:br/>
      </w:r>
      <w:r>
        <w:t xml:space="preserve">2- </w:t>
      </w:r>
      <w:r>
        <w:t>Informar data e hora de saída e retorno da bolsa a Agência Transfusional;</w:t>
      </w:r>
      <w:r>
        <w:br/>
      </w:r>
      <w:r>
        <w:t xml:space="preserve">3- </w:t>
      </w:r>
      <w:r>
        <w:t>Temperatura da bolsa ao retornar a Agência Transfusional.</w:t>
      </w:r>
      <w:r>
        <w:br/>
      </w:r>
      <w:r>
        <w:t>Tarefa 3: </w:t>
      </w:r>
      <w:r>
        <w:t>Clicar em solicitar;</w:t>
      </w:r>
      <w:r>
        <w:br/>
      </w:r>
      <w:r>
        <w:t>Observações:</w:t>
      </w:r>
      <w:r>
        <w:br/>
      </w:r>
      <w:r>
        <w:t xml:space="preserve">1- </w:t>
      </w:r>
      <w:r>
        <w:t>Ao clicar em solicitar, o Controle de Qualidade receberá uma notificação de solicitação.</w:t>
      </w:r>
      <w:r>
        <w:br/>
      </w:r>
      <w:r>
        <w:t>Ponto de Atenção: A solicitação de Validar Bolsas de Hemocomponentes pode vir não só do setor de Controle de Qualidade, como também do setor de Processamento, seguirá o mesmo caminho do fluxo, partindo apenas a solicitação de outro setor.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solicitar ao setor de Controle de Qualidade que realize validação da bolsa de hemocomponente que retornou a Agência Transfusional com a temperatura a baixo do padrão.</w:t>
      </w:r>
    </w:p>
    <w:p>
      <w:pPr>
        <w:pStyle w:val="bizHeading4"/>
      </w:pPr>
      <w:bookmarkStart w:id="17" w:name="_Toc256000012"/>
      <w:r>
        <w:drawing>
          <wp:inline>
            <wp:extent cx="152421" cy="152421"/>
            <wp:docPr id="68443025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509061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Colocar em quarentena</w:t>
      </w:r>
      <w:bookmarkEnd w:id="17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> Agência Transfusional</w:t>
      </w:r>
      <w:r>
        <w:br/>
      </w:r>
      <w:r>
        <w:br/>
      </w:r>
      <w:r>
        <w:t>O que:</w:t>
      </w:r>
      <w:r>
        <w:t> Colocar em quarentena</w:t>
      </w:r>
      <w:r>
        <w:br/>
      </w:r>
      <w:r>
        <w:br/>
      </w:r>
      <w:r>
        <w:t>Quando:</w:t>
      </w:r>
      <w:r>
        <w:br/>
      </w:r>
      <w:r>
        <w:br/>
      </w:r>
      <w:r>
        <w:t>Como</w:t>
      </w:r>
      <w:r>
        <w:br/>
      </w:r>
      <w:r>
        <w:t>Tarefa 1</w:t>
      </w:r>
      <w:r>
        <w:t>: Deixar a bolsa em quarentena;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 xml:space="preserve">1-  </w:t>
      </w:r>
      <w:r>
        <w:t>O prazo estipulado pela Agência Transfusional de repouso da bolsa é de até 06 horas na câmara fria;</w:t>
      </w:r>
      <w:r>
        <w:br/>
      </w:r>
      <w:r>
        <w:t xml:space="preserve">2 - </w:t>
      </w:r>
      <w:r>
        <w:t>Se o hemocomponente for de Concentrado de Hemácias (CH), deverá ficar ma câmara fria por 06 horas;</w:t>
      </w:r>
      <w:r>
        <w:br/>
      </w:r>
      <w:r>
        <w:t>3 - </w:t>
      </w:r>
      <w:r>
        <w:t>Se o hemocomponente for de Concentrado de Plaquetas (CP), deverá ficar na homogeneizador de plaquetas por 1 (uma) hora;</w:t>
      </w:r>
      <w:r>
        <w:br/>
      </w:r>
      <w:r>
        <w:t xml:space="preserve">4 - </w:t>
      </w:r>
      <w:r>
        <w:t>Se a bolsa apresentar alguma inconformidade (na inspeção visual) durante a quarentena, ela será expurgada;</w:t>
      </w:r>
      <w:r>
        <w:br/>
      </w:r>
      <w:r>
        <w:t xml:space="preserve">5 - </w:t>
      </w:r>
      <w:r>
        <w:t>Se a bolsa estiver conforme após às 06h para CH e 01h para CP, ela será reintegrada ao estoque da Agência Transfusional;</w:t>
      </w:r>
      <w:r>
        <w:br/>
      </w:r>
      <w:r>
        <w:t xml:space="preserve">6 - </w:t>
      </w:r>
      <w:r>
        <w:t>Durante a quarentena se surgir uma nova solicitação de hemocomponente para transfusão, o Técnico dará prioridade para a bolsa que está em repouso, devendo reintegra-lá ao estoque da Agência para posterior disponibilização do hemocomponente.</w:t>
      </w:r>
      <w:r>
        <w:br/>
      </w:r>
      <w:r>
        <w:br/>
      </w:r>
      <w:r>
        <w:t>Por que essa atividade acontece? </w:t>
      </w:r>
      <w:r>
        <w:br/>
      </w:r>
      <w:r>
        <w:t>Essa atividade acontece porque é necessário que a bolsa fique em quarentena por 06 horas (CH) e 01h (CP), durante o prazo será feito uma nova nova inspeção visual, estando tudo conforme será reintegrada ao estoque da Agência Transfusional.</w:t>
      </w:r>
    </w:p>
    <w:p>
      <w:pPr>
        <w:pStyle w:val="bizHeading4"/>
      </w:pPr>
      <w:bookmarkStart w:id="18" w:name="_Toc256000013"/>
      <w:r>
        <w:drawing>
          <wp:inline>
            <wp:extent cx="152421" cy="152421"/>
            <wp:docPr id="167187730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472302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Expurgar</w:t>
      </w:r>
      <w:bookmarkEnd w:id="18"/>
    </w:p>
    <w:p/>
    <w:p>
      <w:pPr>
        <w:pStyle w:val="bizHeading4"/>
      </w:pPr>
      <w:bookmarkStart w:id="19" w:name="_Toc256000014"/>
      <w:r>
        <w:drawing>
          <wp:inline>
            <wp:extent cx="152421" cy="152421"/>
            <wp:docPr id="202302822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33890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Expurgar</w:t>
      </w:r>
      <w:bookmarkEnd w:id="19"/>
    </w:p>
    <w:p/>
    <w:p>
      <w:pPr>
        <w:pStyle w:val="bizHeading4"/>
      </w:pPr>
      <w:bookmarkStart w:id="20" w:name="_Toc256000015"/>
      <w:r>
        <w:drawing>
          <wp:inline>
            <wp:extent cx="152421" cy="152421"/>
            <wp:docPr id="106293831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095160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Registrar expurgo</w:t>
      </w:r>
      <w:bookmarkEnd w:id="20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No sistema SIHRO</w:t>
      </w:r>
      <w:r>
        <w:br/>
      </w:r>
      <w:r>
        <w:br/>
      </w:r>
      <w:r>
        <w:t>O que:</w:t>
      </w:r>
      <w:r>
        <w:t> Registrar expurgo</w:t>
      </w:r>
      <w:r>
        <w:br/>
      </w:r>
      <w:r>
        <w:br/>
      </w:r>
      <w:r>
        <w:t>Quando:</w:t>
      </w:r>
      <w:r>
        <w:br/>
      </w:r>
      <w:r>
        <w:br/>
      </w:r>
      <w:r>
        <w:t>Como</w:t>
      </w:r>
      <w:r>
        <w:br/>
      </w:r>
      <w:r>
        <w:t>Tarefa 1</w:t>
      </w:r>
      <w:r>
        <w:t>: Registrar no sistema SIHRO o expurgo da bolsa de hemocomponente;</w:t>
      </w:r>
      <w:r>
        <w:br/>
      </w:r>
      <w:r>
        <w:t>Observações:</w:t>
      </w:r>
      <w:r>
        <w:br/>
      </w:r>
      <w:r>
        <w:t xml:space="preserve">1 - </w:t>
      </w:r>
      <w:r>
        <w:t>O sistema SIHRO permitirá a busca de informações da bolsa através do código de barras ou pelo nº da bolsa, já trazendo as informações abaixo:</w:t>
      </w:r>
      <w:r>
        <w:br/>
      </w:r>
      <w:r>
        <w:t>- Setor;</w:t>
      </w:r>
      <w:r>
        <w:br/>
      </w:r>
      <w:r>
        <w:t>- Mês;</w:t>
      </w:r>
      <w:r>
        <w:br/>
      </w:r>
      <w:r>
        <w:t>- Ano;</w:t>
      </w:r>
      <w:r>
        <w:br/>
      </w:r>
      <w:r>
        <w:t>- Tipo de hemocomponente;</w:t>
      </w:r>
      <w:r>
        <w:br/>
      </w:r>
      <w:r>
        <w:t>- Data;</w:t>
      </w:r>
      <w:r>
        <w:br/>
      </w:r>
      <w:r>
        <w:t>- Ordem (1, 2, 3...);</w:t>
      </w:r>
      <w:r>
        <w:br/>
      </w:r>
      <w:r>
        <w:t>- Nº da bolsa;</w:t>
      </w:r>
      <w:r>
        <w:br/>
      </w:r>
      <w:r>
        <w:t>- Grupo Sanguíneo + Fator Rh;</w:t>
      </w:r>
      <w:r>
        <w:br/>
      </w:r>
      <w:r>
        <w:t>Tarefa 2</w:t>
      </w:r>
      <w:r>
        <w:t>: Informar o motivo do descarte;</w:t>
      </w:r>
      <w:r>
        <w:br/>
      </w:r>
      <w:r>
        <w:t>Tarefa 3</w:t>
      </w:r>
      <w:r>
        <w:t>: Realizar assinatura no sistema SIHRO;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 xml:space="preserve">1 - </w:t>
      </w:r>
      <w:r>
        <w:t>O técnico de plantão responsável pelo descarte deverá assinar eletrônicamente no sistema;</w:t>
      </w:r>
      <w:r>
        <w:br/>
      </w:r>
      <w:r>
        <w:t xml:space="preserve">2 - </w:t>
      </w:r>
      <w:r>
        <w:t>Modelo de planilha na imagem 01.</w:t>
      </w:r>
      <w:r>
        <w:br/>
      </w:r>
      <w:r>
        <w:t>Tarefa 4:</w:t>
      </w:r>
      <w:r>
        <w:t> Realizar o descarte do hemocomponente</w:t>
      </w:r>
      <w:r>
        <w:t>.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 xml:space="preserve">1- </w:t>
      </w:r>
      <w:r>
        <w:t>O descarte deverá ser realizado pelo mesmo técnico de plantão que recebeu esse hemocomponente, para que não fique descarte para outro plantão;</w:t>
      </w:r>
      <w:r>
        <w:br/>
      </w:r>
      <w:r>
        <w:t xml:space="preserve">2 - </w:t>
      </w:r>
      <w:r>
        <w:t>O sistema SIHRO deverá manter a rastreabilidade da bolsa expurgada.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que essa bolsa seja descartada, pois ela não poderá ser mais utilizada para transfusão.</w:t>
      </w:r>
    </w:p>
    <w:p>
      <w:pPr>
        <w:pStyle w:val="ModelerNormal"/>
        <w:spacing w:afterAutospacing="1"/>
      </w:pPr>
      <w:r>
        <w:t>Imagem 01</w:t>
      </w:r>
    </w:p>
    <w:p>
      <w:pPr>
        <w:pStyle w:val="ModelerNormal"/>
        <w:spacing w:afterAutospacing="1"/>
      </w:pPr>
      <w:r>
        <w:drawing>
          <wp:inline>
            <wp:extent cx="6867525" cy="2495550"/>
            <wp:docPr id="10002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885377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867525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t>  </w:t>
      </w:r>
    </w:p>
    <w:p>
      <w:pPr>
        <w:pStyle w:val="ModelerNormal"/>
        <w:spacing w:afterAutospacing="1"/>
      </w:pPr>
      <w:r>
        <w:t>PORTARIA Nº 158, DE 04 DE FEVEREIRO DE 2016</w:t>
      </w:r>
    </w:p>
    <w:p>
      <w:pPr>
        <w:pStyle w:val="ModelerNormal"/>
        <w:spacing w:afterAutospacing="1"/>
      </w:pPr>
      <w:r>
        <w:t>DOU de 05/02/2016 (nº 25, Seção 1, pág. 37)</w:t>
      </w:r>
    </w:p>
    <w:p>
      <w:pPr>
        <w:pStyle w:val="ModelerNormal"/>
        <w:spacing w:afterAutospacing="1"/>
      </w:pPr>
      <w:r>
        <w:t>Redefine o regulamento técnico de procedimentos hemoterápicos. </w:t>
      </w:r>
    </w:p>
    <w:p>
      <w:pPr>
        <w:pStyle w:val="ModelerNormal"/>
        <w:spacing w:afterAutospacing="1"/>
      </w:pPr>
      <w:r>
        <w:t>Seção IV</w:t>
      </w:r>
    </w:p>
    <w:p>
      <w:pPr>
        <w:pStyle w:val="ModelerNormal"/>
        <w:spacing w:afterAutospacing="1"/>
      </w:pPr>
      <w:r>
        <w:t>Do Descarte de Resíduos</w:t>
      </w:r>
    </w:p>
    <w:p>
      <w:pPr>
        <w:pStyle w:val="ModelerNormal"/>
        <w:spacing w:afterAutospacing="1"/>
      </w:pPr>
      <w:r>
        <w:t>Art. 262. No descarte de sangue total, componentes e resíduos de laboratório será observado o disposto no Plano de Gerenciamento de Resíduos de Serviços de Saúde (PGRSS) e serão respeitadas as demais normas técnico-sanitárias pertinentes editadas pela ANVISA e outros órgãos reguladores.</w:t>
      </w:r>
      <w:r>
        <w:br/>
      </w:r>
      <w:r>
        <w:t>Art. 263. O serviço de hemoterapia indicará o profissional de nível superior de seu quadro, que será responsável pela elaboração e implantação do PGRSS da instituição.</w:t>
      </w:r>
      <w:r>
        <w:br/>
      </w:r>
      <w:r>
        <w:t>Art. 264. O serviço de hemoterapia possuirá programa de capacitação e educação continuada envolvendo todos os profissionais, inclusive os funcionários de empresas contratadas (terceirizadas) no manuseio de resíduos de serviços de saúde (RSS).</w:t>
      </w:r>
      <w:r>
        <w:br/>
      </w:r>
      <w:r>
        <w:t>Art. 265. Se o serviço de hemoterapia optar pelo tratamento interno de seus resíduos, este será realizado em equipamento qualificado e procedimento validado. Parágrafo único. Será assegurado que a empresa contratada para transporte, tratamento e destinação final seja licenciada pelos órgãos ambientais.</w:t>
      </w:r>
    </w:p>
    <w:p>
      <w:pPr>
        <w:pStyle w:val="bizHeading4"/>
      </w:pPr>
      <w:bookmarkStart w:id="21" w:name="_Toc256000016"/>
      <w:r>
        <w:drawing>
          <wp:inline>
            <wp:extent cx="152421" cy="152421"/>
            <wp:docPr id="187809769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944134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Reintegração</w:t>
      </w:r>
      <w:bookmarkEnd w:id="21"/>
    </w:p>
    <w:p/>
    <w:p>
      <w:pPr>
        <w:pStyle w:val="bizHeading4"/>
      </w:pPr>
      <w:bookmarkStart w:id="22" w:name="_Toc256000017"/>
      <w:r>
        <w:drawing>
          <wp:inline>
            <wp:extent cx="152421" cy="152421"/>
            <wp:docPr id="145648790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094808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 Reintegrar a bolsa</w:t>
      </w:r>
      <w:bookmarkEnd w:id="22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> No sistema SIHRO</w:t>
      </w:r>
      <w:r>
        <w:br/>
      </w:r>
      <w:r>
        <w:br/>
      </w:r>
      <w:r>
        <w:t>O que:</w:t>
      </w:r>
      <w:r>
        <w:t> Reintegrar a bolsa</w:t>
      </w:r>
      <w:r>
        <w:br/>
      </w:r>
      <w:r>
        <w:t>Quando:</w:t>
      </w:r>
      <w:r>
        <w:br/>
      </w:r>
      <w:r>
        <w:br/>
      </w:r>
      <w:r>
        <w:t>Como</w:t>
      </w:r>
      <w:r>
        <w:br/>
      </w:r>
      <w:r>
        <w:t>Tarefa 1:</w:t>
      </w:r>
      <w:r>
        <w:t> Reintegrar a bolsa ao estoque da Agência Transfusional;</w:t>
      </w:r>
      <w:r>
        <w:br/>
      </w:r>
      <w:r>
        <w:t>Obs.:</w:t>
      </w:r>
      <w:r>
        <w:br/>
      </w:r>
      <w:r>
        <w:t>1 - Após as 06 (seis) horas para CH na câmara fria e 01h para CP na homogeneizadora de plaquetas, estando tudo conforme com a bolsa ela será devolvida ao estoque da Agência Transfusional para seu devido acondicionamento de acordo com o seu ABO e Rh.</w:t>
      </w:r>
      <w:r>
        <w:br/>
      </w:r>
      <w:r>
        <w:t xml:space="preserve">2 - O Técnico deverá registrar no sistema SIHRO a reintegração da bolsa ao estoque da Agência Transfusional. 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que a bolsa de hemocomponentes devolvida seja acondicionada em local apropriado, de acordo com seu tipo de ABO e Rh.</w:t>
      </w:r>
    </w:p>
    <w:p>
      <w:pPr>
        <w:pStyle w:val="bizHeading4"/>
      </w:pPr>
      <w:bookmarkStart w:id="23" w:name="_Toc256000018"/>
      <w:r>
        <w:drawing>
          <wp:inline>
            <wp:extent cx="152421" cy="152421"/>
            <wp:docPr id="178761122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797582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Reintegração</w:t>
      </w:r>
      <w:bookmarkEnd w:id="23"/>
    </w:p>
    <w:p/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eo Sans Std">
    <w:panose1 w:val="020B0504030504040204"/>
    <w:charset w:val="00"/>
    <w:family w:val="swiss"/>
    <w:pitch w:val="variable"/>
    <w:sig w:usb0="800000AF" w:usb1="5000205B" w:usb2="00000000" w:usb3="00000000" w:csb0="00000001" w:csb1="00000000"/>
  </w:font>
  <w:font w:name="Aller">
    <w:altName w:val="Corbel"/>
    <w:panose1 w:val="02000503030000020004"/>
    <w:charset w:val="00"/>
    <w:family w:val="auto"/>
    <w:pitch w:val="variable"/>
    <w:sig w:usb0="00000001" w:usb1="5000205B" w:usb2="00000000" w:usb3="00000000" w:csb0="00000093" w:csb1="00000000"/>
  </w:font>
  <w:font w:name="Aller Light">
    <w:altName w:val="Corbel"/>
    <w:panose1 w:val="02000503000000020004"/>
    <w:charset w:val="00"/>
    <w:family w:val="auto"/>
    <w:pitch w:val="variable"/>
    <w:sig w:usb0="00000001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Vrinda">
    <w:panose1 w:val="00000400000000000000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P="00F05C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03BE" w:rsidP="00B603B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6E" w:rsidRPr="003B5308" w:rsidP="003B5308">
    <w:pPr>
      <w:pStyle w:val="Footer"/>
      <w:rPr>
        <w:i/>
        <w:iCs/>
        <w:lang w:val="es-CO"/>
      </w:rPr>
    </w:pPr>
    <w:r>
      <w:rPr>
        <w:i/>
        <w:iCs/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03.2pt;height:26.5pt;margin-top:-19.35pt;margin-left:-46.95pt;position:absolute;z-index:-251658240" stroked="f">
          <v:textbox>
            <w:txbxContent>
              <w:p w:rsidR="003B5308" w:rsidRPr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i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.com</w:t>
                  </w:r>
                </w:hyperlink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308">
    <w:pPr>
      <w:pStyle w:val="Footer"/>
    </w:pPr>
    <w:r>
      <w:rPr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03.2pt;height:26.5pt;margin-top:-16.45pt;margin-left:-49.65pt;position:absolute;z-index:251659264" stroked="f">
          <v:textbox>
            <w:txbxContent>
              <w:p w:rsidR="003B5308" w:rsidRPr="003B5308" w:rsidP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6A5345">
    <w:pPr>
      <w:pStyle w:val="Confidential"/>
      <w:jc w:val="center"/>
    </w:pPr>
    <w:r w:rsidR="00A50009">
      <w:t>www.bizagi.com</w:t>
    </w:r>
    <w:r w:rsidR="00463079">
      <w:t xml:space="preserve">                                          </w:t>
    </w:r>
    <w:r w:rsidR="00A50009">
      <w:t xml:space="preserve">  </w:t>
    </w:r>
    <w:r w:rsidR="00463079">
      <w:t xml:space="preserve">     </w:t>
    </w:r>
    <w:r w:rsidRPr="00463079" w:rsidR="00463079">
      <w:rPr>
        <w:sz w:val="18"/>
        <w:szCs w:val="18"/>
      </w:rPr>
      <w:t>Confidential</w:t>
    </w:r>
    <w:r w:rsidR="00463079">
      <w:t xml:space="preserve">                        </w:t>
    </w:r>
    <w:r w:rsidR="00A50009">
      <w:t xml:space="preserve">                       </w:t>
    </w:r>
    <w:r w:rsidR="00A33804">
      <w:t xml:space="preserve">               </w:t>
    </w:r>
    <w:r w:rsidRPr="00A50009" w:rsidR="00463079">
      <w:rPr>
        <w:i w:val="0"/>
        <w:iCs/>
        <w:sz w:val="18"/>
        <w:szCs w:val="18"/>
      </w:rPr>
      <w:t xml:space="preserve">| </w:t>
    </w:r>
    <w:r w:rsidRPr="00A50009" w:rsidR="00463079">
      <w:rPr>
        <w:i w:val="0"/>
        <w:iCs/>
        <w:sz w:val="18"/>
        <w:szCs w:val="18"/>
      </w:rPr>
      <w:fldChar w:fldCharType="begin"/>
    </w:r>
    <w:r w:rsidRPr="00A50009" w:rsidR="00463079">
      <w:rPr>
        <w:i w:val="0"/>
        <w:iCs/>
        <w:sz w:val="18"/>
        <w:szCs w:val="18"/>
      </w:rPr>
      <w:instrText xml:space="preserve"> PAGE   \* MERGEFORMAT </w:instrText>
    </w:r>
    <w:r w:rsidRPr="00A50009" w:rsidR="00463079">
      <w:rPr>
        <w:i w:val="0"/>
        <w:iCs/>
        <w:sz w:val="18"/>
        <w:szCs w:val="18"/>
      </w:rPr>
      <w:fldChar w:fldCharType="separate"/>
    </w:r>
    <w:r w:rsidR="00032CAE">
      <w:rPr>
        <w:i w:val="0"/>
        <w:iCs/>
        <w:noProof/>
        <w:sz w:val="18"/>
        <w:szCs w:val="18"/>
      </w:rPr>
      <w:t>25</w:t>
    </w:r>
    <w:r w:rsidRPr="00A50009" w:rsidR="00463079">
      <w:rPr>
        <w:i w:val="0"/>
        <w:iCs/>
        <w:noProof/>
        <w:sz w:val="18"/>
        <w:szCs w:val="18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 w:rsidP="00275F9A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49" type="#_x0000_t75" style="width:168.53pt;height:46.21pt" stroked="f">
          <v:imagedata r:id="rId1" o:title=""/>
        </v:shape>
      </w:pict>
    </w:r>
    <w:r>
      <w:rPr>
        <w:noProof/>
      </w:rPr>
      <w:pict>
        <v:shape id="Picture 18" o:spid="_x0000_s2050" type="#_x0000_t75" style="width:602.95pt;height:432.85pt;margin-top:-35.25pt;margin-left:-84.45pt;mso-height-relative:margin;mso-width-relative:margin;position:absolute;visibility:visible;z-index:-251655168" filled="f" stroked="f">
          <v:imagedata r:id="rId2" o:title=""/>
          <o:lock v:ext="edit" aspectratio="t"/>
        </v:shape>
      </w:pict>
    </w:r>
  </w:p>
  <w:p w:rsidR="00275F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3" type="#_x0000_t75" style="width:96.61pt;height:26.43pt" stroked="f">
          <v:imagedata r:id="rId1" o:title="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EE" w:rsidP="001B21EE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25.48pt;height:45.72pt" stroked="f">
          <v:imagedata r:id="rId1" o:title="bizagiLogo"/>
        </v:shape>
      </w:pict>
    </w:r>
  </w:p>
  <w:p w:rsidR="00275F9A">
    <w:pPr>
      <w:pStyle w:val="Header"/>
    </w:pPr>
    <w:r>
      <w:rPr>
        <w:noProof/>
      </w:rPr>
      <w:pict>
        <v:shape id="_x0000_s2055" type="#_x0000_t75" style="width:376.3pt;height:534.55pt;margin-top:151.95pt;margin-left:-85.4pt;mso-position-horizontal-relative:margin;mso-position-vertical-relative:margin;position:absolute;z-index:-251656192" stroked="f">
          <v:imagedata r:id="rId2" o:title="originalBizagiBackground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60A4"/>
    <w:multiLevelType w:val="multilevel"/>
    <w:tmpl w:val="D42ACEBE"/>
    <w:numStyleLink w:val="Headings"/>
  </w:abstractNum>
  <w:abstractNum w:abstractNumId="1">
    <w:nsid w:val="0A13321D"/>
    <w:multiLevelType w:val="multilevel"/>
    <w:tmpl w:val="C4520BEC"/>
    <w:lvl w:ilvl="0">
      <w:start w:val="1"/>
      <w:numFmt w:val="decimal"/>
      <w:pStyle w:val="biz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biz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biz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biz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biz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>
    <w:nsid w:val="298877DF"/>
    <w:multiLevelType w:val="hybridMultilevel"/>
    <w:tmpl w:val="2FF64D5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94FAE"/>
    <w:multiLevelType w:val="multilevel"/>
    <w:tmpl w:val="D42ACEBE"/>
    <w:numStyleLink w:val="Headings"/>
  </w:abstractNum>
  <w:abstractNum w:abstractNumId="4">
    <w:nsid w:val="44B055A6"/>
    <w:multiLevelType w:val="multilevel"/>
    <w:tmpl w:val="D42ACEBE"/>
    <w:numStyleLink w:val="Headings"/>
  </w:abstractNum>
  <w:abstractNum w:abstractNumId="5">
    <w:nsid w:val="4ACB189B"/>
    <w:multiLevelType w:val="multilevel"/>
    <w:tmpl w:val="35E627E4"/>
    <w:styleLink w:val="Headings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6">
    <w:nsid w:val="4BE02392"/>
    <w:multiLevelType w:val="multilevel"/>
    <w:tmpl w:val="9B52074E"/>
    <w:numStyleLink w:val="Headings"/>
  </w:abstractNum>
  <w:abstractNum w:abstractNumId="7">
    <w:nsid w:val="681C5AA5"/>
    <w:multiLevelType w:val="multilevel"/>
    <w:tmpl w:val="35E627E4"/>
    <w:numStyleLink w:val="Headings"/>
  </w:abstractNum>
  <w:abstractNum w:abstractNumId="8">
    <w:nsid w:val="6A411E3C"/>
    <w:multiLevelType w:val="multilevel"/>
    <w:tmpl w:val="0F742404"/>
    <w:styleLink w:val="Lista1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C1314F"/>
    <w:multiLevelType w:val="hybridMultilevel"/>
    <w:tmpl w:val="0F64E4CC"/>
    <w:lvl w:ilvl="0">
      <w:start w:val="1"/>
      <w:numFmt w:val="bullet"/>
      <w:pStyle w:val="List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05D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310C"/>
    <w:rsid w:val="00025BD9"/>
    <w:rsid w:val="0003100E"/>
    <w:rsid w:val="00031F20"/>
    <w:rsid w:val="00032CAE"/>
    <w:rsid w:val="000400C4"/>
    <w:rsid w:val="00056796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86E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5064"/>
    <w:rsid w:val="000F5CBC"/>
    <w:rsid w:val="00105188"/>
    <w:rsid w:val="00105811"/>
    <w:rsid w:val="00107B4C"/>
    <w:rsid w:val="00115201"/>
    <w:rsid w:val="0011555F"/>
    <w:rsid w:val="001244D0"/>
    <w:rsid w:val="00133DB2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0E80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21EE"/>
    <w:rsid w:val="001C22BE"/>
    <w:rsid w:val="001C251F"/>
    <w:rsid w:val="001D335C"/>
    <w:rsid w:val="001D77FC"/>
    <w:rsid w:val="001E527D"/>
    <w:rsid w:val="001E5639"/>
    <w:rsid w:val="001F3B82"/>
    <w:rsid w:val="001F5161"/>
    <w:rsid w:val="001F5727"/>
    <w:rsid w:val="00203170"/>
    <w:rsid w:val="00213E7F"/>
    <w:rsid w:val="0021548A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75F9A"/>
    <w:rsid w:val="002945BF"/>
    <w:rsid w:val="002A1FD5"/>
    <w:rsid w:val="002A3185"/>
    <w:rsid w:val="002B3EFE"/>
    <w:rsid w:val="002B65BB"/>
    <w:rsid w:val="002B7464"/>
    <w:rsid w:val="002B7F64"/>
    <w:rsid w:val="002C4B5D"/>
    <w:rsid w:val="002C6201"/>
    <w:rsid w:val="002D20E4"/>
    <w:rsid w:val="002D600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4F17"/>
    <w:rsid w:val="00345DA2"/>
    <w:rsid w:val="00353FC8"/>
    <w:rsid w:val="00362E19"/>
    <w:rsid w:val="0036453B"/>
    <w:rsid w:val="00364B15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B5308"/>
    <w:rsid w:val="003C1C42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02D66"/>
    <w:rsid w:val="00414DCE"/>
    <w:rsid w:val="00422C9A"/>
    <w:rsid w:val="004255C7"/>
    <w:rsid w:val="00425E09"/>
    <w:rsid w:val="0043331B"/>
    <w:rsid w:val="00440553"/>
    <w:rsid w:val="00443780"/>
    <w:rsid w:val="00445EDC"/>
    <w:rsid w:val="00447241"/>
    <w:rsid w:val="004478F1"/>
    <w:rsid w:val="00447FB2"/>
    <w:rsid w:val="00450B29"/>
    <w:rsid w:val="00451BB4"/>
    <w:rsid w:val="00456DF1"/>
    <w:rsid w:val="00463079"/>
    <w:rsid w:val="00463FAD"/>
    <w:rsid w:val="00473639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A63"/>
    <w:rsid w:val="004C1B4C"/>
    <w:rsid w:val="004C2A9C"/>
    <w:rsid w:val="004C30E2"/>
    <w:rsid w:val="004C536F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87ADF"/>
    <w:rsid w:val="00591299"/>
    <w:rsid w:val="00591489"/>
    <w:rsid w:val="005A5202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6A59"/>
    <w:rsid w:val="006478FA"/>
    <w:rsid w:val="0066431A"/>
    <w:rsid w:val="00670E18"/>
    <w:rsid w:val="006726D2"/>
    <w:rsid w:val="00673AA0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A5345"/>
    <w:rsid w:val="006B0908"/>
    <w:rsid w:val="006C2187"/>
    <w:rsid w:val="006C5BC9"/>
    <w:rsid w:val="006E0689"/>
    <w:rsid w:val="006E2B36"/>
    <w:rsid w:val="006F44CE"/>
    <w:rsid w:val="006F6461"/>
    <w:rsid w:val="00703508"/>
    <w:rsid w:val="0070473B"/>
    <w:rsid w:val="0070512E"/>
    <w:rsid w:val="00705381"/>
    <w:rsid w:val="007056B0"/>
    <w:rsid w:val="00711AA1"/>
    <w:rsid w:val="00714B19"/>
    <w:rsid w:val="00722BDE"/>
    <w:rsid w:val="0073310A"/>
    <w:rsid w:val="00734243"/>
    <w:rsid w:val="00743611"/>
    <w:rsid w:val="00753E90"/>
    <w:rsid w:val="00760E2F"/>
    <w:rsid w:val="00773DEB"/>
    <w:rsid w:val="007741DF"/>
    <w:rsid w:val="00774636"/>
    <w:rsid w:val="00781243"/>
    <w:rsid w:val="0078732B"/>
    <w:rsid w:val="00787DA9"/>
    <w:rsid w:val="00787E0A"/>
    <w:rsid w:val="007914C6"/>
    <w:rsid w:val="007A2CFF"/>
    <w:rsid w:val="007B3313"/>
    <w:rsid w:val="007B663B"/>
    <w:rsid w:val="007C4D01"/>
    <w:rsid w:val="007C5A5C"/>
    <w:rsid w:val="007D4C61"/>
    <w:rsid w:val="007D63D4"/>
    <w:rsid w:val="007E50A6"/>
    <w:rsid w:val="007E6FC5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26A8"/>
    <w:rsid w:val="00843316"/>
    <w:rsid w:val="00846E73"/>
    <w:rsid w:val="00854218"/>
    <w:rsid w:val="008606E1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074A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86AFA"/>
    <w:rsid w:val="00995FDF"/>
    <w:rsid w:val="009A4204"/>
    <w:rsid w:val="009A6F62"/>
    <w:rsid w:val="009B7DFE"/>
    <w:rsid w:val="009C06B5"/>
    <w:rsid w:val="009C1220"/>
    <w:rsid w:val="009C2C93"/>
    <w:rsid w:val="009C5494"/>
    <w:rsid w:val="009C72BB"/>
    <w:rsid w:val="009F1800"/>
    <w:rsid w:val="009F5920"/>
    <w:rsid w:val="009F7A0D"/>
    <w:rsid w:val="00A07A8E"/>
    <w:rsid w:val="00A07FA6"/>
    <w:rsid w:val="00A13634"/>
    <w:rsid w:val="00A2192D"/>
    <w:rsid w:val="00A221E1"/>
    <w:rsid w:val="00A262B2"/>
    <w:rsid w:val="00A33804"/>
    <w:rsid w:val="00A363ED"/>
    <w:rsid w:val="00A374BC"/>
    <w:rsid w:val="00A40C1F"/>
    <w:rsid w:val="00A47B9C"/>
    <w:rsid w:val="00A50009"/>
    <w:rsid w:val="00A50CAC"/>
    <w:rsid w:val="00A52BFA"/>
    <w:rsid w:val="00A55D18"/>
    <w:rsid w:val="00A576B2"/>
    <w:rsid w:val="00A6077A"/>
    <w:rsid w:val="00A61739"/>
    <w:rsid w:val="00A65310"/>
    <w:rsid w:val="00A66741"/>
    <w:rsid w:val="00A6763D"/>
    <w:rsid w:val="00A74F07"/>
    <w:rsid w:val="00A8200B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AF405D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C1CCA"/>
    <w:rsid w:val="00BC2FC0"/>
    <w:rsid w:val="00BC3029"/>
    <w:rsid w:val="00BC532D"/>
    <w:rsid w:val="00BD71BF"/>
    <w:rsid w:val="00BE42AC"/>
    <w:rsid w:val="00BE7281"/>
    <w:rsid w:val="00BF1BBD"/>
    <w:rsid w:val="00C02ED2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55278"/>
    <w:rsid w:val="00C60046"/>
    <w:rsid w:val="00C624DC"/>
    <w:rsid w:val="00C63FE5"/>
    <w:rsid w:val="00C642B2"/>
    <w:rsid w:val="00C7009A"/>
    <w:rsid w:val="00C71EF7"/>
    <w:rsid w:val="00C72EA3"/>
    <w:rsid w:val="00C73FAC"/>
    <w:rsid w:val="00C83A4B"/>
    <w:rsid w:val="00C84A64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D7DF9"/>
    <w:rsid w:val="00CE7D6F"/>
    <w:rsid w:val="00CF068B"/>
    <w:rsid w:val="00CF394B"/>
    <w:rsid w:val="00CF449C"/>
    <w:rsid w:val="00CF6D90"/>
    <w:rsid w:val="00CF744F"/>
    <w:rsid w:val="00D00E81"/>
    <w:rsid w:val="00D03D21"/>
    <w:rsid w:val="00D03F58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603"/>
    <w:rsid w:val="00D327C6"/>
    <w:rsid w:val="00D33BAA"/>
    <w:rsid w:val="00D37268"/>
    <w:rsid w:val="00D37C8C"/>
    <w:rsid w:val="00D4476F"/>
    <w:rsid w:val="00D55DAB"/>
    <w:rsid w:val="00D55F51"/>
    <w:rsid w:val="00D57EF2"/>
    <w:rsid w:val="00D610E6"/>
    <w:rsid w:val="00D6529A"/>
    <w:rsid w:val="00D65A66"/>
    <w:rsid w:val="00D815A8"/>
    <w:rsid w:val="00D95D67"/>
    <w:rsid w:val="00DA3A79"/>
    <w:rsid w:val="00DA3C7A"/>
    <w:rsid w:val="00DA5550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DF74EC"/>
    <w:rsid w:val="00E00DE0"/>
    <w:rsid w:val="00E07B66"/>
    <w:rsid w:val="00E23E4D"/>
    <w:rsid w:val="00E25804"/>
    <w:rsid w:val="00E259F7"/>
    <w:rsid w:val="00E266FC"/>
    <w:rsid w:val="00E30D39"/>
    <w:rsid w:val="00E3338A"/>
    <w:rsid w:val="00E3617B"/>
    <w:rsid w:val="00E366FB"/>
    <w:rsid w:val="00E41A0B"/>
    <w:rsid w:val="00E42B39"/>
    <w:rsid w:val="00E46ACA"/>
    <w:rsid w:val="00E52327"/>
    <w:rsid w:val="00E53183"/>
    <w:rsid w:val="00E564AF"/>
    <w:rsid w:val="00E57DBB"/>
    <w:rsid w:val="00E60254"/>
    <w:rsid w:val="00E63153"/>
    <w:rsid w:val="00E705CD"/>
    <w:rsid w:val="00E7090D"/>
    <w:rsid w:val="00E751A7"/>
    <w:rsid w:val="00E76C13"/>
    <w:rsid w:val="00E77951"/>
    <w:rsid w:val="00E80344"/>
    <w:rsid w:val="00E823BD"/>
    <w:rsid w:val="00E82488"/>
    <w:rsid w:val="00E82879"/>
    <w:rsid w:val="00E86820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1FF6"/>
    <w:rsid w:val="00F02ABC"/>
    <w:rsid w:val="00F03869"/>
    <w:rsid w:val="00F05139"/>
    <w:rsid w:val="00F05C3B"/>
    <w:rsid w:val="00F05CA3"/>
    <w:rsid w:val="00F100E3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FFC"/>
    <w:rsid w:val="00F95652"/>
    <w:rsid w:val="00FB7EAB"/>
    <w:rsid w:val="00FC763C"/>
    <w:rsid w:val="00FD0416"/>
    <w:rsid w:val="00FD2EB6"/>
    <w:rsid w:val="00FD61CA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39" w:unhideWhenUsed="0"/>
    <w:lsdException w:name="toc 5" w:semiHidden="0" w:uiPriority="0" w:unhideWhenUsed="0"/>
    <w:lsdException w:name="toc 6" w:semiHidden="0" w:uiPriority="39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nhideWhenUsed="0"/>
    <w:lsdException w:name="Table Grid" w:semiHidden="0" w:uiPriority="59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E41A0B"/>
    <w:pPr>
      <w:spacing w:after="200" w:line="276" w:lineRule="auto"/>
    </w:pPr>
    <w:rPr>
      <w:rFonts w:ascii="Segoe UI" w:eastAsia="Calibri" w:hAnsi="Segoe UI"/>
      <w:color w:val="595959"/>
      <w:szCs w:val="22"/>
      <w:lang w:val="en-US" w:eastAsia="en-US" w:bidi="ar-SA"/>
    </w:rPr>
  </w:style>
  <w:style w:type="paragraph" w:styleId="Heading1">
    <w:name w:val="heading 1"/>
    <w:next w:val="Normal"/>
    <w:link w:val="Ttulo1Car"/>
    <w:uiPriority w:val="9"/>
    <w:qFormat/>
    <w:rsid w:val="00E41A0B"/>
    <w:pPr>
      <w:autoSpaceDE w:val="0"/>
      <w:autoSpaceDN w:val="0"/>
      <w:adjustRightInd w:val="0"/>
      <w:spacing w:after="80"/>
      <w:outlineLvl w:val="0"/>
    </w:pPr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Heading2">
    <w:name w:val="heading 2"/>
    <w:basedOn w:val="Normal"/>
    <w:next w:val="Normal"/>
    <w:link w:val="Ttulo2Car"/>
    <w:uiPriority w:val="9"/>
    <w:qFormat/>
    <w:rsid w:val="00E41A0B"/>
    <w:pPr>
      <w:autoSpaceDE w:val="0"/>
      <w:autoSpaceDN w:val="0"/>
      <w:adjustRightInd w:val="0"/>
      <w:spacing w:line="240" w:lineRule="auto"/>
      <w:outlineLvl w:val="1"/>
    </w:pPr>
    <w:rPr>
      <w:rFonts w:ascii="Neo Sans Std" w:eastAsia="Times New Roman" w:hAnsi="Neo Sans Std" w:cs="Arial"/>
      <w:color w:val="2E5E88"/>
      <w:sz w:val="34"/>
      <w:szCs w:val="32"/>
    </w:rPr>
  </w:style>
  <w:style w:type="paragraph" w:styleId="Heading3">
    <w:name w:val="heading 3"/>
    <w:basedOn w:val="Normal"/>
    <w:next w:val="Normal"/>
    <w:link w:val="Ttulo3Car"/>
    <w:uiPriority w:val="9"/>
    <w:qFormat/>
    <w:rsid w:val="00E41A0B"/>
    <w:pPr>
      <w:keepNext/>
      <w:spacing w:before="240" w:after="240" w:line="260" w:lineRule="exact"/>
      <w:outlineLvl w:val="2"/>
    </w:pPr>
    <w:rPr>
      <w:rFonts w:ascii="Neo Sans Std" w:eastAsia="Times New Roman" w:hAnsi="Neo Sans Std" w:cs="Arial"/>
      <w:bCs/>
      <w:color w:val="548DD4"/>
      <w:sz w:val="26"/>
      <w:szCs w:val="26"/>
    </w:rPr>
  </w:style>
  <w:style w:type="paragraph" w:styleId="Heading4">
    <w:name w:val="heading 4"/>
    <w:next w:val="Normal"/>
    <w:link w:val="Ttulo4Car"/>
    <w:uiPriority w:val="9"/>
    <w:unhideWhenUsed/>
    <w:qFormat/>
    <w:rsid w:val="00E41A0B"/>
    <w:pPr>
      <w:keepLines/>
      <w:spacing w:before="200" w:after="200"/>
      <w:outlineLvl w:val="3"/>
    </w:pPr>
    <w:rPr>
      <w:rFonts w:ascii="Aller" w:hAnsi="Aller"/>
      <w:iCs/>
      <w:color w:val="7F7F7F"/>
      <w:sz w:val="24"/>
      <w:szCs w:val="26"/>
      <w:lang w:val="en-US" w:eastAsia="en-US" w:bidi="ar-SA"/>
    </w:rPr>
  </w:style>
  <w:style w:type="paragraph" w:styleId="Heading5">
    <w:name w:val="heading 5"/>
    <w:next w:val="Normal"/>
    <w:link w:val="Ttulo5Car"/>
    <w:uiPriority w:val="9"/>
    <w:unhideWhenUsed/>
    <w:qFormat/>
    <w:rsid w:val="00E41A0B"/>
    <w:pPr>
      <w:keepLines/>
      <w:spacing w:before="200" w:after="200"/>
      <w:outlineLvl w:val="4"/>
    </w:pPr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styleId="Heading6">
    <w:name w:val="heading 6"/>
    <w:next w:val="Normal"/>
    <w:link w:val="Ttulo6Car"/>
    <w:uiPriority w:val="9"/>
    <w:unhideWhenUsed/>
    <w:qFormat/>
    <w:rsid w:val="00E41A0B"/>
    <w:pPr>
      <w:keepLines/>
      <w:numPr>
        <w:ilvl w:val="5"/>
        <w:numId w:val="4"/>
      </w:numPr>
      <w:spacing w:before="200" w:after="200"/>
      <w:outlineLvl w:val="5"/>
    </w:pPr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styleId="Heading7">
    <w:name w:val="heading 7"/>
    <w:basedOn w:val="Normal"/>
    <w:next w:val="Normal"/>
    <w:qFormat/>
    <w:rsid w:val="00885706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885706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8570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  <w:rsid w:val="00E41A0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41A0B"/>
  </w:style>
  <w:style w:type="character" w:customStyle="1" w:styleId="Ttulo1Car">
    <w:name w:val="Título 1 Car"/>
    <w:link w:val="Heading1"/>
    <w:uiPriority w:val="9"/>
    <w:rsid w:val="00E41A0B"/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TOC1">
    <w:name w:val="toc 1"/>
    <w:basedOn w:val="ModelerNormal"/>
    <w:next w:val="ModelerNormal"/>
    <w:autoRedefine/>
    <w:rsid w:val="00E41A0B"/>
    <w:pPr>
      <w:spacing w:before="120" w:after="0" w:line="240" w:lineRule="auto"/>
    </w:pPr>
    <w:rPr>
      <w:rFonts w:eastAsia="Times New Roman"/>
      <w:caps/>
      <w:color w:val="auto"/>
      <w:szCs w:val="20"/>
      <w:lang w:val="es-ES_tradnl" w:eastAsia="es-ES"/>
    </w:rPr>
  </w:style>
  <w:style w:type="paragraph" w:styleId="TOC2">
    <w:name w:val="toc 2"/>
    <w:basedOn w:val="ModelerNormal"/>
    <w:next w:val="ModelerNormal"/>
    <w:autoRedefine/>
    <w:rsid w:val="00E41A0B"/>
    <w:pPr>
      <w:tabs>
        <w:tab w:val="right" w:leader="dot" w:pos="8828"/>
      </w:tabs>
      <w:spacing w:after="0" w:line="240" w:lineRule="auto"/>
      <w:ind w:left="198"/>
      <w:jc w:val="both"/>
    </w:pPr>
    <w:rPr>
      <w:rFonts w:eastAsia="Times New Roman"/>
      <w:smallCaps/>
      <w:color w:val="auto"/>
      <w:szCs w:val="20"/>
      <w:lang w:eastAsia="es-ES"/>
    </w:rPr>
  </w:style>
  <w:style w:type="paragraph" w:styleId="TOC3">
    <w:name w:val="toc 3"/>
    <w:basedOn w:val="ModelerNormal"/>
    <w:next w:val="ModelerNormal"/>
    <w:autoRedefine/>
    <w:rsid w:val="00E41A0B"/>
    <w:pPr>
      <w:tabs>
        <w:tab w:val="left" w:pos="1321"/>
        <w:tab w:val="right" w:leader="dot" w:pos="8828"/>
      </w:tabs>
      <w:spacing w:after="0" w:line="240" w:lineRule="auto"/>
      <w:ind w:left="403"/>
      <w:jc w:val="both"/>
    </w:pPr>
    <w:rPr>
      <w:rFonts w:eastAsia="Times New Roman"/>
      <w:noProof/>
      <w:color w:val="000000"/>
      <w:szCs w:val="20"/>
      <w:lang w:val="es-ES" w:eastAsia="es-ES"/>
    </w:rPr>
  </w:style>
  <w:style w:type="character" w:styleId="Hyperlink">
    <w:name w:val="Hyperlink"/>
    <w:uiPriority w:val="99"/>
    <w:unhideWhenUsed/>
    <w:rsid w:val="00E41A0B"/>
    <w:rPr>
      <w:rFonts w:ascii="Segoe UI" w:hAnsi="Segoe UI"/>
      <w:color w:val="0000FF"/>
      <w:u w:val="single"/>
    </w:rPr>
  </w:style>
  <w:style w:type="paragraph" w:styleId="Header">
    <w:name w:val="header"/>
    <w:basedOn w:val="Normal"/>
    <w:link w:val="EncabezadoCar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paragraph" w:styleId="Footer">
    <w:name w:val="footer"/>
    <w:basedOn w:val="Normal"/>
    <w:link w:val="PiedepginaCar"/>
    <w:uiPriority w:val="99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semiHidden/>
    <w:rsid w:val="00A55D18"/>
    <w:rPr>
      <w:rFonts w:ascii="Neo Sans Std" w:hAnsi="Neo Sans Std" w:cs="Arial"/>
      <w:color w:val="333333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TextoindependienteCar"/>
    <w:rsid w:val="00E41A0B"/>
    <w:pPr>
      <w:spacing w:line="240" w:lineRule="auto"/>
      <w:ind w:left="634"/>
    </w:pPr>
    <w:rPr>
      <w:rFonts w:eastAsia="Times New Roman"/>
      <w:szCs w:val="20"/>
    </w:rPr>
  </w:style>
  <w:style w:type="table" w:styleId="TableGrid">
    <w:name w:val="Table Grid"/>
    <w:basedOn w:val="TableNormal"/>
    <w:uiPriority w:val="59"/>
    <w:rsid w:val="00E41A0B"/>
    <w:rPr>
      <w:rFonts w:ascii="Century Gothic" w:hAnsi="Century Gothic"/>
    </w:rPr>
    <w:tblPr>
      <w:tblInd w:w="1008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</w:tblPr>
    <w:tcPr>
      <w:shd w:val="clear" w:color="auto" w:fill="auto"/>
    </w:tc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rPr>
      <w:b/>
      <w:bCs/>
      <w:iCs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2732D9"/>
    <w:pPr>
      <w:numPr>
        <w:ilvl w:val="0"/>
        <w:numId w:val="0"/>
      </w:numPr>
    </w:pPr>
  </w:style>
  <w:style w:type="numbering" w:customStyle="1" w:styleId="Lista1">
    <w:name w:val="Lista1"/>
    <w:basedOn w:val="NoList"/>
    <w:rsid w:val="007741DF"/>
    <w:pPr>
      <w:numPr>
        <w:numId w:val="1"/>
      </w:numPr>
    </w:pPr>
  </w:style>
  <w:style w:type="paragraph" w:customStyle="1" w:styleId="Normal4">
    <w:name w:val="Normal4"/>
    <w:basedOn w:val="Normal"/>
    <w:rsid w:val="00820B48"/>
    <w:pPr>
      <w:ind w:left="504"/>
    </w:pPr>
    <w:rPr>
      <w:lang w:val="es-ES_tradnl"/>
    </w:rPr>
  </w:style>
  <w:style w:type="paragraph" w:styleId="TOC5">
    <w:name w:val="toc 5"/>
    <w:basedOn w:val="ModelerNormal"/>
    <w:next w:val="ModelerNormal"/>
    <w:autoRedefine/>
    <w:rsid w:val="00E41A0B"/>
    <w:pPr>
      <w:spacing w:before="120" w:after="0" w:line="240" w:lineRule="auto"/>
      <w:ind w:left="800"/>
      <w:jc w:val="both"/>
    </w:pPr>
    <w:rPr>
      <w:rFonts w:eastAsia="Times New Roman"/>
      <w:color w:val="auto"/>
      <w:szCs w:val="20"/>
      <w:lang w:eastAsia="es-ES"/>
    </w:r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ModelerNormal"/>
    <w:next w:val="ModelerNormal"/>
    <w:qFormat/>
    <w:rsid w:val="00E41A0B"/>
  </w:style>
  <w:style w:type="paragraph" w:customStyle="1" w:styleId="bizHeading1">
    <w:name w:val="bizHeading1"/>
    <w:basedOn w:val="Heading1"/>
    <w:next w:val="ModelerNormal"/>
    <w:qFormat/>
    <w:rsid w:val="004C30E2"/>
    <w:pPr>
      <w:keepNext/>
      <w:keepLines/>
      <w:numPr>
        <w:ilvl w:val="0"/>
        <w:numId w:val="4"/>
      </w:numPr>
      <w:tabs>
        <w:tab w:val="clear" w:pos="936"/>
      </w:tabs>
      <w:autoSpaceDE/>
      <w:autoSpaceDN/>
      <w:adjustRightInd/>
      <w:spacing w:before="400" w:after="0" w:line="269" w:lineRule="auto"/>
      <w:ind w:left="0" w:firstLine="0"/>
    </w:pPr>
    <w:rPr>
      <w:rFonts w:ascii="Segoe UI Semibold" w:eastAsia="Times New Roman" w:hAnsi="Segoe UI Semibold" w:cs="Times New Roman"/>
      <w:color w:val="30646E"/>
      <w:sz w:val="36"/>
      <w:szCs w:val="32"/>
      <w:lang w:val="en-AU"/>
    </w:rPr>
  </w:style>
  <w:style w:type="paragraph" w:customStyle="1" w:styleId="bizHeading2">
    <w:name w:val="bizHeading2"/>
    <w:basedOn w:val="Heading2"/>
    <w:next w:val="ModelerNormal"/>
    <w:qFormat/>
    <w:rsid w:val="004C30E2"/>
    <w:pPr>
      <w:keepNext/>
      <w:keepLines/>
      <w:numPr>
        <w:ilvl w:val="1"/>
        <w:numId w:val="4"/>
      </w:numPr>
      <w:tabs>
        <w:tab w:val="clear" w:pos="1080"/>
      </w:tabs>
      <w:autoSpaceDE/>
      <w:autoSpaceDN/>
      <w:adjustRightInd/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color w:val="009485"/>
      <w:sz w:val="32"/>
      <w:szCs w:val="26"/>
      <w:lang w:val="en-AU"/>
    </w:rPr>
  </w:style>
  <w:style w:type="paragraph" w:customStyle="1" w:styleId="bizHeading3">
    <w:name w:val="bizHeading3"/>
    <w:basedOn w:val="Heading3"/>
    <w:next w:val="ModelerNormal"/>
    <w:qFormat/>
    <w:rsid w:val="004C30E2"/>
    <w:pPr>
      <w:keepLines/>
      <w:numPr>
        <w:ilvl w:val="2"/>
        <w:numId w:val="4"/>
      </w:numPr>
      <w:tabs>
        <w:tab w:val="clear" w:pos="1224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212D34"/>
      <w:sz w:val="28"/>
      <w:szCs w:val="28"/>
      <w:lang w:val="en-AU"/>
    </w:rPr>
  </w:style>
  <w:style w:type="paragraph" w:customStyle="1" w:styleId="bizHeading4">
    <w:name w:val="bizHeading4"/>
    <w:basedOn w:val="Heading4"/>
    <w:next w:val="ModelerNormal"/>
    <w:qFormat/>
    <w:rsid w:val="004C30E2"/>
    <w:pPr>
      <w:keepNext/>
      <w:numPr>
        <w:ilvl w:val="3"/>
        <w:numId w:val="4"/>
      </w:numPr>
      <w:tabs>
        <w:tab w:val="clear" w:pos="1368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i/>
      <w:color w:val="006E63"/>
      <w:sz w:val="28"/>
      <w:szCs w:val="24"/>
      <w:lang w:val="en-AU"/>
    </w:rPr>
  </w:style>
  <w:style w:type="paragraph" w:customStyle="1" w:styleId="bizHeading5">
    <w:name w:val="bizHeading5"/>
    <w:basedOn w:val="Heading5"/>
    <w:next w:val="ModelerNormal"/>
    <w:qFormat/>
    <w:rsid w:val="004C30E2"/>
    <w:pPr>
      <w:keepNext/>
      <w:numPr>
        <w:ilvl w:val="4"/>
        <w:numId w:val="4"/>
      </w:numPr>
      <w:tabs>
        <w:tab w:val="clear" w:pos="1512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5F6E7C"/>
      <w:sz w:val="26"/>
      <w:szCs w:val="20"/>
      <w:lang w:val="en-AU"/>
    </w:rPr>
  </w:style>
  <w:style w:type="paragraph" w:styleId="BalloonText">
    <w:name w:val="Balloon Text"/>
    <w:basedOn w:val="Normal"/>
    <w:link w:val="TextodegloboCar"/>
    <w:uiPriority w:val="99"/>
    <w:unhideWhenUsed/>
    <w:rsid w:val="00E4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BalloonText"/>
    <w:uiPriority w:val="99"/>
    <w:rsid w:val="00E41A0B"/>
    <w:rPr>
      <w:rFonts w:ascii="Tahoma" w:eastAsia="Calibri" w:hAnsi="Tahoma" w:cs="Tahoma"/>
      <w:color w:val="595959"/>
      <w:sz w:val="16"/>
      <w:szCs w:val="16"/>
      <w:lang w:val="en-US" w:eastAsia="en-US" w:bidi="ar-SA"/>
    </w:rPr>
  </w:style>
  <w:style w:type="paragraph" w:customStyle="1" w:styleId="ModelerNormal">
    <w:name w:val="ModelerNormal"/>
    <w:basedOn w:val="Normal"/>
    <w:link w:val="ModelerNormalChar"/>
    <w:qFormat/>
    <w:rsid w:val="00E41A0B"/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/>
      <w:sz w:val="20"/>
    </w:rPr>
  </w:style>
  <w:style w:type="paragraph" w:customStyle="1" w:styleId="bizHeadingBAS2">
    <w:name w:val="bizHeadingBAS2"/>
    <w:basedOn w:val="bizHeading2"/>
    <w:next w:val="Normal"/>
    <w:rsid w:val="00BF1BBD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4F1444"/>
    <w:pPr>
      <w:numPr>
        <w:ilvl w:val="0"/>
        <w:numId w:val="2"/>
      </w:numPr>
    </w:pPr>
  </w:style>
  <w:style w:type="character" w:customStyle="1" w:styleId="EncabezadoCar">
    <w:name w:val="Encabezado Car"/>
    <w:link w:val="Header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Ttulo2Car">
    <w:name w:val="Título 2 Car"/>
    <w:link w:val="Heading2"/>
    <w:uiPriority w:val="9"/>
    <w:rsid w:val="00E41A0B"/>
    <w:rPr>
      <w:rFonts w:ascii="Neo Sans Std" w:hAnsi="Neo Sans Std" w:cs="Arial"/>
      <w:color w:val="2E5E88"/>
      <w:sz w:val="34"/>
      <w:szCs w:val="32"/>
      <w:lang w:val="en-US" w:eastAsia="en-US" w:bidi="ar-SA"/>
    </w:rPr>
  </w:style>
  <w:style w:type="character" w:customStyle="1" w:styleId="TextoindependienteCar">
    <w:name w:val="Texto independiente Car"/>
    <w:link w:val="BodyText"/>
    <w:rsid w:val="00E41A0B"/>
    <w:rPr>
      <w:rFonts w:ascii="Segoe UI" w:hAnsi="Segoe UI"/>
      <w:color w:val="595959"/>
      <w:lang w:val="en-US" w:eastAsia="en-US" w:bidi="ar-SA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character" w:customStyle="1" w:styleId="Ttulo3Car">
    <w:name w:val="Título 3 Car"/>
    <w:link w:val="Heading3"/>
    <w:uiPriority w:val="9"/>
    <w:rsid w:val="00E41A0B"/>
    <w:rPr>
      <w:rFonts w:ascii="Neo Sans Std" w:hAnsi="Neo Sans Std" w:cs="Arial"/>
      <w:bCs/>
      <w:color w:val="548DD4"/>
      <w:sz w:val="26"/>
      <w:szCs w:val="26"/>
      <w:lang w:val="en-US" w:eastAsia="en-US" w:bidi="ar-SA"/>
    </w:rPr>
  </w:style>
  <w:style w:type="character" w:customStyle="1" w:styleId="Ttulo4Car">
    <w:name w:val="Título 4 Car"/>
    <w:link w:val="Heading4"/>
    <w:uiPriority w:val="9"/>
    <w:rsid w:val="00E41A0B"/>
    <w:rPr>
      <w:rFonts w:ascii="Aller" w:hAnsi="Aller"/>
      <w:iCs/>
      <w:color w:val="7F7F7F"/>
      <w:sz w:val="24"/>
      <w:szCs w:val="26"/>
      <w:lang w:val="en-US" w:eastAsia="en-US" w:bidi="ar-SA"/>
    </w:rPr>
  </w:style>
  <w:style w:type="character" w:customStyle="1" w:styleId="Ttulo5Car">
    <w:name w:val="Título 5 Car"/>
    <w:link w:val="Heading5"/>
    <w:uiPriority w:val="9"/>
    <w:rsid w:val="00E41A0B"/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customStyle="1" w:styleId="Confidential">
    <w:name w:val="Confidential"/>
    <w:basedOn w:val="Normal"/>
    <w:qFormat/>
    <w:rsid w:val="00E41A0B"/>
    <w:pPr>
      <w:spacing w:after="0" w:line="240" w:lineRule="auto"/>
    </w:pPr>
    <w:rPr>
      <w:rFonts w:eastAsia="Times New Roman"/>
      <w:i/>
      <w:color w:val="808080"/>
      <w:szCs w:val="20"/>
    </w:rPr>
  </w:style>
  <w:style w:type="character" w:styleId="Emphasis">
    <w:name w:val="Emphasis"/>
    <w:qFormat/>
    <w:rsid w:val="00E41A0B"/>
    <w:rPr>
      <w:rFonts w:ascii="Segoe UI" w:hAnsi="Segoe UI"/>
      <w:b/>
      <w:i/>
      <w:iCs/>
      <w:color w:val="404040"/>
    </w:rPr>
  </w:style>
  <w:style w:type="character" w:customStyle="1" w:styleId="PiedepginaCar">
    <w:name w:val="Pie de página Car"/>
    <w:link w:val="Footer"/>
    <w:uiPriority w:val="99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paragraph" w:customStyle="1" w:styleId="frontpage">
    <w:name w:val="front page"/>
    <w:basedOn w:val="Normal"/>
    <w:qFormat/>
    <w:rsid w:val="00E41A0B"/>
    <w:pPr>
      <w:spacing w:after="0" w:line="240" w:lineRule="auto"/>
      <w:ind w:left="634"/>
    </w:pPr>
    <w:rPr>
      <w:rFonts w:eastAsia="Times New Roman"/>
      <w:noProof/>
      <w:szCs w:val="20"/>
    </w:rPr>
  </w:style>
  <w:style w:type="character" w:customStyle="1" w:styleId="Ttulo6Car">
    <w:name w:val="Título 6 Car"/>
    <w:link w:val="Heading6"/>
    <w:uiPriority w:val="9"/>
    <w:rsid w:val="00E41A0B"/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customStyle="1" w:styleId="heading40">
    <w:name w:val="heading4"/>
    <w:basedOn w:val="Heading3"/>
    <w:rsid w:val="00E41A0B"/>
    <w:pPr>
      <w:numPr>
        <w:ilvl w:val="0"/>
        <w:numId w:val="0"/>
      </w:numPr>
      <w:spacing w:after="0" w:line="240" w:lineRule="auto"/>
    </w:pPr>
    <w:rPr>
      <w:color w:val="404040"/>
      <w:szCs w:val="34"/>
    </w:rPr>
  </w:style>
  <w:style w:type="paragraph" w:customStyle="1" w:styleId="images">
    <w:name w:val="images"/>
    <w:basedOn w:val="Normal"/>
    <w:qFormat/>
    <w:rsid w:val="00E41A0B"/>
    <w:pPr>
      <w:spacing w:after="0"/>
    </w:pPr>
    <w:rPr>
      <w:noProof/>
    </w:rPr>
  </w:style>
  <w:style w:type="paragraph" w:styleId="ListBullet">
    <w:name w:val="List Bullet"/>
    <w:basedOn w:val="Normal"/>
    <w:rsid w:val="00E41A0B"/>
    <w:pPr>
      <w:numPr>
        <w:ilvl w:val="0"/>
        <w:numId w:val="3"/>
      </w:numPr>
      <w:spacing w:after="240" w:line="260" w:lineRule="exact"/>
    </w:pPr>
    <w:rPr>
      <w:rFonts w:eastAsia="Times New Roman"/>
      <w:szCs w:val="20"/>
    </w:rPr>
  </w:style>
  <w:style w:type="paragraph" w:styleId="NoSpacing">
    <w:name w:val="No Spacing"/>
    <w:link w:val="SinespaciadoCar"/>
    <w:uiPriority w:val="1"/>
    <w:qFormat/>
    <w:rsid w:val="00E41A0B"/>
    <w:rPr>
      <w:rFonts w:ascii="Calibri" w:hAnsi="Calibri"/>
      <w:sz w:val="22"/>
      <w:szCs w:val="22"/>
      <w:lang w:val="en-US" w:eastAsia="en-US" w:bidi="ar-SA"/>
    </w:rPr>
  </w:style>
  <w:style w:type="character" w:customStyle="1" w:styleId="SinespaciadoCar">
    <w:name w:val="Sin espaciado Car"/>
    <w:link w:val="NoSpacing"/>
    <w:uiPriority w:val="1"/>
    <w:rsid w:val="00E41A0B"/>
    <w:rPr>
      <w:rFonts w:ascii="Calibri" w:hAnsi="Calibri"/>
      <w:sz w:val="22"/>
      <w:szCs w:val="22"/>
      <w:lang w:val="en-US" w:eastAsia="en-US" w:bidi="ar-SA"/>
    </w:rPr>
  </w:style>
  <w:style w:type="paragraph" w:customStyle="1" w:styleId="notes">
    <w:name w:val="notes"/>
    <w:basedOn w:val="heading40"/>
    <w:qFormat/>
    <w:rsid w:val="00E41A0B"/>
    <w:pPr>
      <w:outlineLvl w:val="9"/>
    </w:pPr>
    <w:rPr>
      <w:rFonts w:ascii="Segoe UI" w:hAnsi="Segoe UI"/>
      <w:sz w:val="20"/>
      <w:lang w:eastAsia="es-CO"/>
    </w:rPr>
  </w:style>
  <w:style w:type="paragraph" w:customStyle="1" w:styleId="Notestitle">
    <w:name w:val="Notes title"/>
    <w:basedOn w:val="notes"/>
    <w:qFormat/>
    <w:rsid w:val="00E41A0B"/>
  </w:style>
  <w:style w:type="paragraph" w:customStyle="1" w:styleId="TableText">
    <w:name w:val="Table Text"/>
    <w:rsid w:val="00E41A0B"/>
    <w:pPr>
      <w:spacing w:before="100"/>
    </w:pPr>
    <w:rPr>
      <w:rFonts w:ascii="Segoe UI" w:hAnsi="Segoe UI"/>
      <w:color w:val="595959"/>
      <w:sz w:val="16"/>
      <w:lang w:val="en-US" w:eastAsia="en-US" w:bidi="ar-SA"/>
    </w:rPr>
  </w:style>
  <w:style w:type="paragraph" w:customStyle="1" w:styleId="Total">
    <w:name w:val="Total"/>
    <w:basedOn w:val="TableText"/>
    <w:rsid w:val="00E41A0B"/>
    <w:pPr>
      <w:jc w:val="right"/>
    </w:pPr>
    <w:rPr>
      <w:b/>
      <w:bCs/>
    </w:rPr>
  </w:style>
  <w:style w:type="paragraph" w:customStyle="1" w:styleId="PageNumber1">
    <w:name w:val="Page Number1"/>
    <w:basedOn w:val="Total"/>
    <w:qFormat/>
    <w:rsid w:val="00E41A0B"/>
    <w:pPr>
      <w:spacing w:before="40"/>
      <w:jc w:val="left"/>
    </w:pPr>
  </w:style>
  <w:style w:type="paragraph" w:customStyle="1" w:styleId="StyleHeading1NotBold">
    <w:name w:val="Style Heading 1 + Not Bold"/>
    <w:basedOn w:val="Heading1"/>
    <w:rsid w:val="00E41A0B"/>
    <w:pPr>
      <w:numPr>
        <w:ilvl w:val="0"/>
        <w:numId w:val="0"/>
      </w:numPr>
    </w:pPr>
    <w:rPr>
      <w:b/>
    </w:rPr>
  </w:style>
  <w:style w:type="paragraph" w:customStyle="1" w:styleId="StyleProjectNameAllerLightRight">
    <w:name w:val="Style Project Name + Aller Light Right"/>
    <w:basedOn w:val="Normal"/>
    <w:rsid w:val="00E41A0B"/>
    <w:pPr>
      <w:spacing w:before="100" w:after="0" w:line="240" w:lineRule="auto"/>
      <w:jc w:val="right"/>
    </w:pPr>
    <w:rPr>
      <w:rFonts w:ascii="Aller Light" w:eastAsia="Times New Roman" w:hAnsi="Aller Light"/>
      <w:color w:val="808080"/>
      <w:sz w:val="44"/>
      <w:szCs w:val="20"/>
    </w:rPr>
  </w:style>
  <w:style w:type="paragraph" w:customStyle="1" w:styleId="StyleStyleProjectNameAllerLightRightAller40ptText1">
    <w:name w:val="Style Style Project Name + Aller Light Right + Aller 40 pt Text 1"/>
    <w:basedOn w:val="StyleProjectNameAllerLightRight"/>
    <w:rsid w:val="00E41A0B"/>
    <w:rPr>
      <w:rFonts w:ascii="Neo Sans Std" w:hAnsi="Neo Sans Std"/>
      <w:color w:val="595959"/>
      <w:sz w:val="80"/>
    </w:rPr>
  </w:style>
  <w:style w:type="paragraph" w:customStyle="1" w:styleId="StyleStyleProjectNameAllerLightRightAller40ptText11">
    <w:name w:val="Style Style Project Name + Aller Light Right + Aller 40 pt Text 11"/>
    <w:basedOn w:val="StyleProjectNameAllerLightRight"/>
    <w:rsid w:val="00E41A0B"/>
    <w:rPr>
      <w:rFonts w:ascii="Neo Sans Std" w:hAnsi="Neo Sans Std"/>
      <w:color w:val="2E5E88"/>
      <w:sz w:val="40"/>
    </w:rPr>
  </w:style>
  <w:style w:type="paragraph" w:customStyle="1" w:styleId="StyleStyleProposalAllerText1TopNoborderRight">
    <w:name w:val="Style Style Proposal + Aller Text 1 Top: (No border) + Right"/>
    <w:basedOn w:val="Normal"/>
    <w:rsid w:val="00E41A0B"/>
    <w:pPr>
      <w:spacing w:after="0" w:line="240" w:lineRule="auto"/>
      <w:jc w:val="right"/>
    </w:pPr>
    <w:rPr>
      <w:rFonts w:eastAsia="Times New Roman"/>
      <w:sz w:val="76"/>
      <w:szCs w:val="20"/>
    </w:rPr>
  </w:style>
  <w:style w:type="paragraph" w:customStyle="1" w:styleId="textoheader">
    <w:name w:val="texto header"/>
    <w:basedOn w:val="Normal"/>
    <w:qFormat/>
    <w:rsid w:val="00E41A0B"/>
    <w:pPr>
      <w:pBdr>
        <w:left w:val="single" w:sz="4" w:space="4" w:color="595959"/>
      </w:pBdr>
      <w:tabs>
        <w:tab w:val="left" w:pos="1620"/>
      </w:tabs>
      <w:spacing w:after="0" w:line="240" w:lineRule="auto"/>
      <w:jc w:val="right"/>
    </w:pPr>
    <w:rPr>
      <w:rFonts w:ascii="Neo Sans Std" w:hAnsi="Neo Sans Std"/>
      <w:color w:val="808080"/>
      <w:sz w:val="26"/>
      <w:szCs w:val="26"/>
    </w:rPr>
  </w:style>
  <w:style w:type="paragraph" w:customStyle="1" w:styleId="Titulotabla">
    <w:name w:val="Titulo tabla"/>
    <w:qFormat/>
    <w:rsid w:val="00E41A0B"/>
    <w:pPr>
      <w:tabs>
        <w:tab w:val="left" w:pos="1620"/>
      </w:tabs>
      <w:spacing w:before="40"/>
    </w:pPr>
    <w:rPr>
      <w:rFonts w:ascii="Segoe UI" w:eastAsia="Calibri" w:hAnsi="Segoe UI"/>
      <w:color w:val="595959"/>
      <w:sz w:val="22"/>
      <w:szCs w:val="28"/>
      <w:lang w:val="es-CO" w:eastAsia="en-US" w:bidi="ar-SA"/>
    </w:rPr>
  </w:style>
  <w:style w:type="paragraph" w:styleId="TOAHeading">
    <w:name w:val="toa heading"/>
    <w:basedOn w:val="Normal"/>
    <w:next w:val="Normal"/>
    <w:uiPriority w:val="99"/>
    <w:unhideWhenUsed/>
    <w:rsid w:val="00E41A0B"/>
    <w:pPr>
      <w:spacing w:before="120"/>
    </w:pPr>
    <w:rPr>
      <w:rFonts w:ascii="Neo Sans Std" w:eastAsia="Times New Roman" w:hAnsi="Neo Sans Std"/>
      <w:bCs/>
      <w:color w:val="1A2A44"/>
      <w:sz w:val="30"/>
      <w:szCs w:val="24"/>
    </w:rPr>
  </w:style>
  <w:style w:type="paragraph" w:styleId="TOC4">
    <w:name w:val="toc 4"/>
    <w:basedOn w:val="ModelerNormal"/>
    <w:next w:val="ModelerNormal"/>
    <w:autoRedefine/>
    <w:uiPriority w:val="39"/>
    <w:unhideWhenUsed/>
    <w:rsid w:val="00E41A0B"/>
    <w:pPr>
      <w:tabs>
        <w:tab w:val="left" w:pos="1542"/>
        <w:tab w:val="right" w:leader="dot" w:pos="8828"/>
      </w:tabs>
      <w:spacing w:before="120" w:after="0"/>
      <w:ind w:left="601"/>
      <w:jc w:val="both"/>
    </w:pPr>
  </w:style>
  <w:style w:type="paragraph" w:styleId="TOC6">
    <w:name w:val="toc 6"/>
    <w:basedOn w:val="TOC3"/>
    <w:next w:val="Normal"/>
    <w:autoRedefine/>
    <w:uiPriority w:val="39"/>
    <w:unhideWhenUsed/>
    <w:rsid w:val="00E41A0B"/>
    <w:pPr>
      <w:spacing w:after="100"/>
      <w:ind w:left="2268"/>
    </w:pPr>
  </w:style>
  <w:style w:type="paragraph" w:customStyle="1" w:styleId="website">
    <w:name w:val="website"/>
    <w:basedOn w:val="Footer"/>
    <w:qFormat/>
    <w:rsid w:val="00E41A0B"/>
    <w:pPr>
      <w:tabs>
        <w:tab w:val="clear" w:pos="4419"/>
        <w:tab w:val="center" w:pos="4680"/>
        <w:tab w:val="clear" w:pos="8838"/>
        <w:tab w:val="right" w:pos="9360"/>
      </w:tabs>
      <w:spacing w:after="200" w:line="260" w:lineRule="exact"/>
      <w:ind w:left="630"/>
      <w:jc w:val="right"/>
    </w:pPr>
    <w:rPr>
      <w:rFonts w:eastAsia="Times New Roman"/>
      <w:noProof/>
      <w:szCs w:val="20"/>
    </w:rPr>
  </w:style>
  <w:style w:type="numbering" w:customStyle="1" w:styleId="Headings">
    <w:name w:val="Headings"/>
    <w:uiPriority w:val="99"/>
    <w:rsid w:val="007E50A6"/>
    <w:pPr>
      <w:numPr>
        <w:numId w:val="5"/>
      </w:numPr>
    </w:pPr>
  </w:style>
  <w:style w:type="paragraph" w:customStyle="1" w:styleId="bizTitle">
    <w:name w:val="bizTitle"/>
    <w:basedOn w:val="Normal"/>
    <w:next w:val="Title"/>
    <w:link w:val="bizTitleChar"/>
    <w:qFormat/>
    <w:rsid w:val="00C55278"/>
    <w:pPr>
      <w:spacing w:before="240" w:after="60" w:line="240" w:lineRule="auto"/>
      <w:jc w:val="right"/>
      <w:outlineLvl w:val="0"/>
    </w:pPr>
    <w:rPr>
      <w:rFonts w:ascii="Segoe UI Semilight" w:eastAsia="Times New Roman" w:hAnsi="Segoe UI Semilight" w:cs="Vrinda"/>
      <w:bCs/>
      <w:color w:val="212D34"/>
      <w:kern w:val="28"/>
      <w:sz w:val="96"/>
      <w:szCs w:val="32"/>
    </w:rPr>
  </w:style>
  <w:style w:type="paragraph" w:customStyle="1" w:styleId="bizSubtitle">
    <w:name w:val="bizSubtitle"/>
    <w:basedOn w:val="Subtitle"/>
    <w:next w:val="Subtitle"/>
    <w:link w:val="bizSubtitleChar"/>
    <w:qFormat/>
    <w:rsid w:val="00C55278"/>
    <w:pPr>
      <w:jc w:val="right"/>
    </w:pPr>
    <w:rPr>
      <w:rFonts w:ascii="Segoe UI Semilight" w:hAnsi="Segoe UI Semilight"/>
      <w:color w:val="30646E"/>
      <w:sz w:val="64"/>
    </w:rPr>
  </w:style>
  <w:style w:type="character" w:customStyle="1" w:styleId="ModelerNormalChar">
    <w:name w:val="ModelerNormal Char"/>
    <w:link w:val="ModelerNormal"/>
    <w:rsid w:val="00DA5550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bizTitleChar">
    <w:name w:val="bizTitle Char"/>
    <w:link w:val="bizTitle"/>
    <w:rsid w:val="00C55278"/>
    <w:rPr>
      <w:rFonts w:ascii="Segoe UI Semilight" w:hAnsi="Segoe UI Semilight" w:cs="Vrinda"/>
      <w:bCs/>
      <w:color w:val="212D34"/>
      <w:kern w:val="28"/>
      <w:sz w:val="96"/>
      <w:szCs w:val="32"/>
      <w:lang w:val="en-US" w:eastAsia="en-US"/>
    </w:rPr>
  </w:style>
  <w:style w:type="paragraph" w:styleId="Title">
    <w:name w:val="Title"/>
    <w:basedOn w:val="Normal"/>
    <w:next w:val="Normal"/>
    <w:link w:val="TtuloCar"/>
    <w:uiPriority w:val="10"/>
    <w:qFormat/>
    <w:rsid w:val="00DA5550"/>
    <w:pPr>
      <w:spacing w:before="240" w:after="60"/>
      <w:jc w:val="center"/>
      <w:outlineLvl w:val="0"/>
    </w:pPr>
    <w:rPr>
      <w:rFonts w:ascii="Cambria" w:eastAsia="Times New Roman" w:hAnsi="Cambria" w:cs="Vrinda"/>
      <w:b/>
      <w:bCs/>
      <w:kern w:val="28"/>
      <w:sz w:val="32"/>
      <w:szCs w:val="32"/>
    </w:rPr>
  </w:style>
  <w:style w:type="character" w:customStyle="1" w:styleId="TtuloCar">
    <w:name w:val="Título Car"/>
    <w:link w:val="Title"/>
    <w:uiPriority w:val="10"/>
    <w:rsid w:val="00DA5550"/>
    <w:rPr>
      <w:rFonts w:ascii="Cambria" w:eastAsia="Times New Roman" w:hAnsi="Cambria" w:cs="Vrinda"/>
      <w:b/>
      <w:bCs/>
      <w:color w:val="595959"/>
      <w:kern w:val="28"/>
      <w:sz w:val="32"/>
      <w:szCs w:val="32"/>
      <w:lang w:val="en-US" w:eastAsia="en-US" w:bidi="ar-SA"/>
    </w:rPr>
  </w:style>
  <w:style w:type="paragraph" w:customStyle="1" w:styleId="BoldModelerNormal">
    <w:name w:val="BoldModelerNormal"/>
    <w:basedOn w:val="ModelerNormal"/>
    <w:next w:val="ModelerNormal"/>
    <w:qFormat/>
    <w:rsid w:val="00032CAE"/>
    <w:rPr>
      <w:b/>
    </w:rPr>
  </w:style>
  <w:style w:type="paragraph" w:styleId="Subtitle">
    <w:name w:val="Subtitle"/>
    <w:basedOn w:val="Normal"/>
    <w:next w:val="Normal"/>
    <w:link w:val="SubttuloCar"/>
    <w:uiPriority w:val="11"/>
    <w:qFormat/>
    <w:rsid w:val="001E563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tuloCar">
    <w:name w:val="Subtítulo Car"/>
    <w:link w:val="Subtitle"/>
    <w:uiPriority w:val="11"/>
    <w:rsid w:val="001E5639"/>
    <w:rPr>
      <w:rFonts w:ascii="Cambria" w:eastAsia="Times New Roman" w:hAnsi="Cambria" w:cs="Vrinda"/>
      <w:color w:val="595959"/>
      <w:sz w:val="24"/>
      <w:szCs w:val="24"/>
      <w:lang w:val="en-US" w:eastAsia="en-US" w:bidi="ar-SA"/>
    </w:rPr>
  </w:style>
  <w:style w:type="character" w:customStyle="1" w:styleId="bizSubtitleChar">
    <w:name w:val="bizSubtitle Char"/>
    <w:link w:val="bizSubtitle"/>
    <w:rsid w:val="00C55278"/>
    <w:rPr>
      <w:rFonts w:ascii="Segoe UI Semilight" w:hAnsi="Segoe UI Semilight" w:cs="Vrinda"/>
      <w:color w:val="30646E"/>
      <w:sz w:val="6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png" /><Relationship Id="rId11" Type="http://schemas.openxmlformats.org/officeDocument/2006/relationships/image" Target="media/image4.png" /><Relationship Id="rId12" Type="http://schemas.openxmlformats.org/officeDocument/2006/relationships/image" Target="media/image5.png" /><Relationship Id="rId13" Type="http://schemas.openxmlformats.org/officeDocument/2006/relationships/image" Target="media/image6.png" /><Relationship Id="rId14" Type="http://schemas.openxmlformats.org/officeDocument/2006/relationships/header" Target="header2.xml" /><Relationship Id="rId15" Type="http://schemas.openxmlformats.org/officeDocument/2006/relationships/header" Target="header3.xml" /><Relationship Id="rId16" Type="http://schemas.openxmlformats.org/officeDocument/2006/relationships/footer" Target="footer4.xml" /><Relationship Id="rId17" Type="http://schemas.openxmlformats.org/officeDocument/2006/relationships/header" Target="header4.xml" /><Relationship Id="rId18" Type="http://schemas.openxmlformats.org/officeDocument/2006/relationships/image" Target="media/image9.emf" /><Relationship Id="rId19" Type="http://schemas.openxmlformats.org/officeDocument/2006/relationships/image" Target="media/image10.png" /><Relationship Id="rId2" Type="http://schemas.openxmlformats.org/officeDocument/2006/relationships/webSettings" Target="webSettings.xml" /><Relationship Id="rId20" Type="http://schemas.openxmlformats.org/officeDocument/2006/relationships/image" Target="media/image11.png" /><Relationship Id="rId21" Type="http://schemas.openxmlformats.org/officeDocument/2006/relationships/image" Target="media/image12.png" /><Relationship Id="rId22" Type="http://schemas.openxmlformats.org/officeDocument/2006/relationships/image" Target="media/image13.png" /><Relationship Id="rId23" Type="http://schemas.openxmlformats.org/officeDocument/2006/relationships/image" Target="media/image14.png" /><Relationship Id="rId24" Type="http://schemas.openxmlformats.org/officeDocument/2006/relationships/image" Target="media/image15.png" /><Relationship Id="rId25" Type="http://schemas.openxmlformats.org/officeDocument/2006/relationships/numbering" Target="numbering.xml" /><Relationship Id="rId26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7.png" /><Relationship Id="rId2" Type="http://schemas.openxmlformats.org/officeDocument/2006/relationships/image" Target="media/image8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25</Pages>
  <Words>0</Words>
  <Characters>1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03598064225</dc:creator>
  <cp:lastModifiedBy>03598064225</cp:lastModifiedBy>
  <cp:revision>1</cp:revision>
  <dcterms:created xsi:type="dcterms:W3CDTF">2014-03-13T20:06:00Z</dcterms:created>
  <dcterms:modified xsi:type="dcterms:W3CDTF">2021-06-30T16:18:00Z</dcterms:modified>
</cp:coreProperties>
</file>