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Plaquetas filtradas e POOL de plaquetas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Gestão do Ciclo do Sangue - Plaquetas filtradas e POOL de plaquetas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488920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Receber requisição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580015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Analisar procedimento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5619132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Analisar procedimento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3602579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 Hemocomponente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3718959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 Hemocomponente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3133316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 Hemocomponente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6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3"/>
          <w:headerReference w:type="default" r:id="rId14"/>
          <w:footerReference w:type="default" r:id="rId15"/>
          <w:headerReference w:type="first" r:id="rId16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bc948988d3004d5889e7af1171efdb7c"/>
      <w:bookmarkStart w:id="3" w:name="_Toc256000002"/>
      <w:r>
        <w:t>TO BE - Plaquetas filtradas e POOL de plaquetas</w:t>
      </w:r>
      <w:bookmarkEnd w:id="3"/>
    </w:p>
    <w:p>
      <w:pPr>
        <w:jc w:val="center"/>
      </w:pPr>
      <w:bookmarkEnd w:id="2"/>
      <w:r>
        <w:drawing>
          <wp:inline>
            <wp:extent cx="7898130" cy="4513928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29277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4513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macroprocesso Gestão da Bolsa de Sangue - Plaquetas filtradas e POOL de plaquetas, desde o recebimento da requisião até a distribuição da bolsa de hemocomponente para a agência transfusional solicitante.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bookmarkStart w:id="5" w:name="_dx_frag_EndFragment"/>
      <w:bookmarkEnd w:id="5"/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r>
        <w:t> 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Luma Damon</w:t>
      </w:r>
      <w:r>
        <w:t> </w:t>
      </w:r>
      <w:r>
        <w:t>- Analista de Processo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Kelly Régia - Biomédica responsável pelo setor de Processamento da FHEMERON</w:t>
      </w:r>
      <w:r>
        <w:t xml:space="preserve"> 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Ádila Pires - Gerente de Processos</w:t>
      </w:r>
      <w:r>
        <w:br/>
      </w:r>
      <w:r>
        <w:t>Kelly Régia - Dono do Processo</w:t>
      </w:r>
      <w:r>
        <w:br/>
      </w:r>
      <w:r>
        <w:t>Maria Luiza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903"/>
        <w:gridCol w:w="1483"/>
        <w:gridCol w:w="1786"/>
        <w:gridCol w:w="4620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31/01/2022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Luma Damon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11/05/2023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add63bf7bf94414ba0eca875d69040c0"/>
      <w:bookmarkStart w:id="7" w:name="_Toc256000003"/>
      <w:r>
        <w:t>Gestão do Ciclo do Sangue - Plaquetas filtradas e POOL de plaquetas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6953710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2796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Receber requisição</w:t>
      </w:r>
      <w:bookmarkEnd w:id="9"/>
      <w:r>
        <w:t> </w:t>
      </w:r>
    </w:p>
    <w:p/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207695826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1761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Analisar procedimento</w:t>
      </w:r>
      <w:bookmarkEnd w:id="10"/>
    </w:p>
    <w:p/>
    <w:p>
      <w:pPr>
        <w:pStyle w:val="bizHeading4"/>
      </w:pPr>
      <w:bookmarkStart w:id="11" w:name="_Toc256000007"/>
      <w:r>
        <w:drawing>
          <wp:inline>
            <wp:extent cx="152421" cy="152421"/>
            <wp:docPr id="3475612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2548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Analisar procedimento</w:t>
      </w:r>
      <w:bookmarkEnd w:id="11"/>
    </w:p>
    <w:p/>
    <w:p>
      <w:pPr>
        <w:pStyle w:val="bizHeading4"/>
      </w:pPr>
      <w:bookmarkStart w:id="12" w:name="_Toc256000008"/>
      <w:r>
        <w:drawing>
          <wp:inline>
            <wp:extent cx="152421" cy="152421"/>
            <wp:docPr id="70167674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76668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 Hemocomponente</w:t>
      </w:r>
      <w:bookmarkEnd w:id="12"/>
    </w:p>
    <w:p/>
    <w:p>
      <w:pPr>
        <w:pStyle w:val="bizHeading4"/>
      </w:pPr>
      <w:bookmarkStart w:id="13" w:name="_Toc256000009"/>
      <w:r>
        <w:drawing>
          <wp:inline>
            <wp:extent cx="152421" cy="152421"/>
            <wp:docPr id="127082456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04160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 Hemocomponente</w:t>
      </w:r>
      <w:bookmarkEnd w:id="13"/>
    </w:p>
    <w:p/>
    <w:p>
      <w:pPr>
        <w:pStyle w:val="bizHeading4"/>
      </w:pPr>
      <w:bookmarkStart w:id="14" w:name="_Toc256000010"/>
      <w:r>
        <w:drawing>
          <wp:inline>
            <wp:extent cx="152421" cy="152421"/>
            <wp:docPr id="66061881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6233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 Hemocomponente</w:t>
      </w:r>
      <w:bookmarkEnd w:id="14"/>
    </w:p>
    <w:p/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6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header" Target="header2.xml" /><Relationship Id="rId14" Type="http://schemas.openxmlformats.org/officeDocument/2006/relationships/header" Target="header3.xml" /><Relationship Id="rId15" Type="http://schemas.openxmlformats.org/officeDocument/2006/relationships/footer" Target="footer4.xml" /><Relationship Id="rId16" Type="http://schemas.openxmlformats.org/officeDocument/2006/relationships/header" Target="header4.xml" /><Relationship Id="rId17" Type="http://schemas.openxmlformats.org/officeDocument/2006/relationships/image" Target="media/image8.emf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6.png" /><Relationship Id="rId2" Type="http://schemas.openxmlformats.org/officeDocument/2006/relationships/image" Target="media/image7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6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