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8D2D31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izTitle"/>
        <w:jc w:val="right"/>
      </w:pPr>
      <w:bookmarkStart w:id="0" w:name="_Toc256000000"/>
      <w:r>
        <w:t>TO BE - Suspensão de Averbação na Análise Crítica</w:t>
      </w:r>
      <w:bookmarkEnd w:id="0"/>
    </w:p>
    <w:p w:rsidR="00216656" w:rsidP="002D61C1">
      <w:pPr>
        <w:pStyle w:val="bizSubtitle"/>
        <w:jc w:val="right"/>
      </w:pPr>
      <w:bookmarkStart w:id="1" w:name="_Toc256000001"/>
      <w:r>
        <w:t>Bizagi Modeler</w:t>
      </w:r>
      <w:bookmarkEnd w:id="1"/>
    </w:p>
    <w:p w:rsidR="00216656">
      <w:pPr>
        <w:sectPr w:rsidSect="00B603BE">
          <w:headerReference w:type="default" r:id="rId5"/>
          <w:footerReference w:type="default" r:id="rId6"/>
          <w:pgSz w:w="12240" w:h="15840" w:code="1"/>
          <w:pgMar w:top="1616" w:right="1701" w:bottom="1418" w:left="1701" w:header="709" w:footer="255" w:gutter="0"/>
          <w:cols w:space="708"/>
          <w:titlePg/>
          <w:docGrid w:linePitch="360"/>
        </w:sectPr>
      </w:pPr>
      <w:r>
        <w:tab/>
      </w: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="00216656">
          <w:rPr>
            <w:rStyle w:val="Hyperlink"/>
          </w:rPr>
          <w:t>TO BE - Suspensão de Averbação na Análise Crítica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="00216656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Suspensão de Averbação na Análise Crítica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Suspensão de Averbação na Análise Crítica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left" w:pos="1320"/>
        </w:tabs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3514089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Início do cálculo da definitiva matrícula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2799640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Finalizar cálculo da matrícula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910373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Finalizar cálculo da matrícula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1753796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Verificar total de consignações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8807245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Verificar se há necessidade de suspender consignações facultativas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393406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Verificar descontos de consignações facultativas (ASSFAPOM)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3449171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Suspender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589228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Verificar total de consignações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4455141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Suspender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2263355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Suspender averbações de consignação facultativas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545886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Refazer cálculo da matrícula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337405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Finalizar cálculo da matrícula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Suspender averbações de consignação facultativas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left" w:pos="1320"/>
        </w:tabs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1.2.1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1.2.1.1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4547389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Verificar valor excedido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1.2.1.2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3535718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Verificar o valor excedido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1.2.1.3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58690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Verificar quantidade de consignações de Cartão de Crédito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1.2.1.4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8941470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Verificar quantidade de consignações do Inciso VI, § 3°, Art. 7º.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1.2.1.5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627640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Verificar quantidade de consignações do Inciso V, § 3°, Art. 7º.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4" w:history="1">
        <w:r>
          <w:rPr>
            <w:rStyle w:val="Hyperlink"/>
          </w:rPr>
          <w:t>1.2.1.6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2925905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Verificar quantidade de consignações do Inciso IV, § 3°, Art. 7º.</w:t>
        </w:r>
        <w:r>
          <w:tab/>
        </w:r>
        <w:r>
          <w:fldChar w:fldCharType="begin"/>
        </w:r>
        <w:r>
          <w:instrText xml:space="preserve"> PAGEREF _Toc256000024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5" w:history="1">
        <w:r>
          <w:rPr>
            <w:rStyle w:val="Hyperlink"/>
          </w:rPr>
          <w:t>1.2.1.7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52802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Verificar quantidade de consignações do Inciso III, § 3°, Art. 7º.</w:t>
        </w:r>
        <w:r>
          <w:tab/>
        </w:r>
        <w:r>
          <w:fldChar w:fldCharType="begin"/>
        </w:r>
        <w:r>
          <w:instrText xml:space="preserve"> PAGEREF _Toc256000025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6" w:history="1">
        <w:r>
          <w:rPr>
            <w:rStyle w:val="Hyperlink"/>
          </w:rPr>
          <w:t>1.2.1.8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1200054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Verificar quantidade de consignações do Inciso II, § 3°, Art. 7º.</w:t>
        </w:r>
        <w:r>
          <w:tab/>
        </w:r>
        <w:r>
          <w:fldChar w:fldCharType="begin"/>
        </w:r>
        <w:r>
          <w:instrText xml:space="preserve"> PAGEREF _Toc256000026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7" w:history="1">
        <w:r>
          <w:rPr>
            <w:rStyle w:val="Hyperlink"/>
          </w:rPr>
          <w:t>1.2.1.9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4528188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Verificar quantidade de consignações do Inciso I, § 3°, Art. 7º.</w:t>
        </w:r>
        <w:r>
          <w:tab/>
        </w:r>
        <w:r>
          <w:fldChar w:fldCharType="begin"/>
        </w:r>
        <w:r>
          <w:instrText xml:space="preserve"> PAGEREF _Toc256000027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8" w:history="1">
        <w:r>
          <w:rPr>
            <w:rStyle w:val="Hyperlink"/>
          </w:rPr>
          <w:t>1.2.1.10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78108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Suspender consignação</w:t>
        </w:r>
        <w:r>
          <w:tab/>
        </w:r>
        <w:r>
          <w:fldChar w:fldCharType="begin"/>
        </w:r>
        <w:r>
          <w:instrText xml:space="preserve"> PAGEREF _Toc256000028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9" w:history="1">
        <w:r>
          <w:rPr>
            <w:rStyle w:val="Hyperlink"/>
          </w:rPr>
          <w:t>1.2.1.11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2155639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Suspender consignação</w:t>
        </w:r>
        <w:r>
          <w:tab/>
        </w:r>
        <w:r>
          <w:fldChar w:fldCharType="begin"/>
        </w:r>
        <w:r>
          <w:instrText xml:space="preserve"> PAGEREF _Toc256000029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0" w:history="1">
        <w:r>
          <w:rPr>
            <w:rStyle w:val="Hyperlink"/>
          </w:rPr>
          <w:t>1.2.1.12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408522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Suspender consignação</w:t>
        </w:r>
        <w:r>
          <w:tab/>
        </w:r>
        <w:r>
          <w:fldChar w:fldCharType="begin"/>
        </w:r>
        <w:r>
          <w:instrText xml:space="preserve"> PAGEREF _Toc256000030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1" w:history="1">
        <w:r>
          <w:rPr>
            <w:rStyle w:val="Hyperlink"/>
          </w:rPr>
          <w:t>1.2.1.13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5474617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Suspender consignação</w:t>
        </w:r>
        <w:r>
          <w:tab/>
        </w:r>
        <w:r>
          <w:fldChar w:fldCharType="begin"/>
        </w:r>
        <w:r>
          <w:instrText xml:space="preserve"> PAGEREF _Toc256000031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2" w:history="1">
        <w:r>
          <w:rPr>
            <w:rStyle w:val="Hyperlink"/>
          </w:rPr>
          <w:t>1.2.1.14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6731299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Suspender consignação</w:t>
        </w:r>
        <w:r>
          <w:tab/>
        </w:r>
        <w:r>
          <w:fldChar w:fldCharType="begin"/>
        </w:r>
        <w:r>
          <w:instrText xml:space="preserve"> PAGEREF _Toc256000032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3" w:history="1">
        <w:r>
          <w:rPr>
            <w:rStyle w:val="Hyperlink"/>
          </w:rPr>
          <w:t>1.2.1.15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7724130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Suspender consignação</w:t>
        </w:r>
        <w:r>
          <w:tab/>
        </w:r>
        <w:r>
          <w:fldChar w:fldCharType="begin"/>
        </w:r>
        <w:r>
          <w:instrText xml:space="preserve"> PAGEREF _Toc256000033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4" w:history="1">
        <w:r>
          <w:rPr>
            <w:rStyle w:val="Hyperlink"/>
          </w:rPr>
          <w:t>1.2.1.16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8374837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Suspender consignação</w:t>
        </w:r>
        <w:r>
          <w:tab/>
        </w:r>
        <w:r>
          <w:fldChar w:fldCharType="begin"/>
        </w:r>
        <w:r>
          <w:instrText xml:space="preserve"> PAGEREF _Toc256000034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5" w:history="1">
        <w:r>
          <w:rPr>
            <w:rStyle w:val="Hyperlink"/>
          </w:rPr>
          <w:t>1.2.1.17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6018724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Suspender consignação mais recente</w:t>
        </w:r>
        <w:r>
          <w:tab/>
        </w:r>
        <w:r>
          <w:fldChar w:fldCharType="begin"/>
        </w:r>
        <w:r>
          <w:instrText xml:space="preserve"> PAGEREF _Toc256000035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6" w:history="1">
        <w:r>
          <w:rPr>
            <w:rStyle w:val="Hyperlink"/>
          </w:rPr>
          <w:t>1.2.1.18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0804669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Verificar valor excedido</w:t>
        </w:r>
        <w:r>
          <w:tab/>
        </w:r>
        <w:r>
          <w:fldChar w:fldCharType="begin"/>
        </w:r>
        <w:r>
          <w:instrText xml:space="preserve"> PAGEREF _Toc256000036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7" w:history="1">
        <w:r>
          <w:rPr>
            <w:rStyle w:val="Hyperlink"/>
          </w:rPr>
          <w:t>1.2.1.19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2811772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Inciso I, § 3°, Art. 7º.</w:t>
        </w:r>
        <w:r>
          <w:tab/>
        </w:r>
        <w:r>
          <w:fldChar w:fldCharType="begin"/>
        </w:r>
        <w:r>
          <w:instrText xml:space="preserve"> PAGEREF _Toc256000037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8" w:history="1">
        <w:r>
          <w:rPr>
            <w:rStyle w:val="Hyperlink"/>
          </w:rPr>
          <w:t>1.2.1.20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720801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Inciso VI, § 3°, Art. 7º.</w:t>
        </w:r>
        <w:r>
          <w:tab/>
        </w:r>
        <w:r>
          <w:fldChar w:fldCharType="begin"/>
        </w:r>
        <w:r>
          <w:instrText xml:space="preserve"> PAGEREF _Toc256000038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9" w:history="1">
        <w:r>
          <w:rPr>
            <w:rStyle w:val="Hyperlink"/>
          </w:rPr>
          <w:t>1.2.1.21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2570732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Inciso V, § 3°, Art. 7º.</w:t>
        </w:r>
        <w:r>
          <w:tab/>
        </w:r>
        <w:r>
          <w:fldChar w:fldCharType="begin"/>
        </w:r>
        <w:r>
          <w:instrText xml:space="preserve"> PAGEREF _Toc256000039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40" w:history="1">
        <w:r>
          <w:rPr>
            <w:rStyle w:val="Hyperlink"/>
          </w:rPr>
          <w:t>1.2.1.22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603884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Inciso IV, § 3°, Art. 7º.</w:t>
        </w:r>
        <w:r>
          <w:tab/>
        </w:r>
        <w:r>
          <w:fldChar w:fldCharType="begin"/>
        </w:r>
        <w:r>
          <w:instrText xml:space="preserve"> PAGEREF _Toc256000040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41" w:history="1">
        <w:r>
          <w:rPr>
            <w:rStyle w:val="Hyperlink"/>
          </w:rPr>
          <w:t>1.2.1.23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1643369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Inciso III, § 3°, Art. 7º.</w:t>
        </w:r>
        <w:r>
          <w:tab/>
        </w:r>
        <w:r>
          <w:fldChar w:fldCharType="begin"/>
        </w:r>
        <w:r>
          <w:instrText xml:space="preserve"> PAGEREF _Toc256000041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42" w:history="1">
        <w:r>
          <w:rPr>
            <w:rStyle w:val="Hyperlink"/>
          </w:rPr>
          <w:t>1.2.1.24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5008058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Inciso II, § 3°, Art. 7º.</w:t>
        </w:r>
        <w:r>
          <w:tab/>
        </w:r>
        <w:r>
          <w:fldChar w:fldCharType="begin"/>
        </w:r>
        <w:r>
          <w:instrText xml:space="preserve"> PAGEREF _Toc256000042 \h </w:instrText>
        </w:r>
        <w:r>
          <w:fldChar w:fldCharType="separate"/>
        </w:r>
        <w:r>
          <w:t>30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771412e0eb71416e9313e5baefc49bf5"/>
      <w:bookmarkStart w:id="3" w:name="_Toc256000002"/>
      <w:r>
        <w:t>TO BE - Suspensão de Averbação na Análise Crítica</w:t>
      </w:r>
      <w:bookmarkEnd w:id="3"/>
    </w:p>
    <w:p>
      <w:pPr>
        <w:jc w:val="center"/>
      </w:pPr>
      <w:bookmarkEnd w:id="2"/>
      <w:r>
        <w:drawing>
          <wp:inline>
            <wp:extent cx="5612130" cy="4969136"/>
            <wp:docPr id="1000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2342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969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6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Este processo tem como escopo as suspensões dos descontos de consignações facultativas de que trata o § 3°, art. 8º da Lei Complementar 622 de Julho de 2011, desde a finalização do cálculo da matrícula até o início do cálculo de outra matrículas</w:t>
      </w:r>
      <w:bookmarkStart w:id="4" w:name="_dx_frag_EndFragment"/>
      <w:bookmarkEnd w:id="4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.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Time Amazonas</w:t>
      </w:r>
    </w:p>
    <w:p>
      <w:pPr>
        <w:pStyle w:val="bizHeading2"/>
      </w:pPr>
      <w:bookmarkStart w:id="5" w:name="Id_2bb8824fdcb64d57b8b85774da30082e"/>
      <w:bookmarkStart w:id="6" w:name="_Toc256000003"/>
      <w:r>
        <w:t>Suspensão de Averbação na Análise Crítica</w:t>
      </w:r>
      <w:bookmarkEnd w:id="6"/>
    </w:p>
    <w:p>
      <w:pPr>
        <w:pStyle w:val="bizHeading3"/>
      </w:pPr>
      <w:bookmarkEnd w:id="5"/>
      <w:bookmarkStart w:id="7" w:name="_Toc256000004"/>
      <w:r>
        <w:t>Elementos do processo</w:t>
      </w:r>
      <w:bookmarkEnd w:id="7"/>
    </w:p>
    <w:p>
      <w:pPr>
        <w:pStyle w:val="bizHeading4"/>
      </w:pPr>
      <w:bookmarkStart w:id="8" w:name="_Toc256000005"/>
      <w:r>
        <w:drawing>
          <wp:inline>
            <wp:extent cx="152421" cy="152421"/>
            <wp:docPr id="7617585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46861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Início do cálculo da definitiva matrícula</w:t>
      </w:r>
      <w:bookmarkEnd w:id="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bookmarkStart w:id="9" w:name="_dx_frag_StartFragment"/>
      <w:bookmarkEnd w:id="9"/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444444"/>
          <w:sz w:val="21"/>
          <w:szCs w:val="21"/>
        </w:rPr>
        <w:t>Após o término do cálculo da folha de pagamento da matrícula, a análise crítica iniciará para certificar que o servidor não terá os 30% de seus rendimentos (para subsistência) comprometidos com averbações consignadas.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6335625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8287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Finalizar cálculo da matrícula</w:t>
      </w:r>
      <w:bookmarkEnd w:id="10"/>
    </w:p>
    <w:p/>
    <w:p>
      <w:pPr>
        <w:pStyle w:val="bizHeading4"/>
      </w:pPr>
      <w:bookmarkStart w:id="11" w:name="_Toc256000007"/>
      <w:r>
        <w:drawing>
          <wp:inline>
            <wp:extent cx="152421" cy="152421"/>
            <wp:docPr id="17148233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4854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Finalizar cálculo da matrícula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Finalizar o cálculo da matrícula.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 (script).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Finalizar o cálculo da matrícula para determinar a base de margem consignável, o rendimento líquido e se haverá necessidade de suspender consignações.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o concluir o cálculo mensal da matrícula.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Finalizar cálculo mensal da matrícula.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Obs.: Caso seja matrícula de algum associado da ASSFAPOM, é acionado o fluxo para a atividade 2. Verificar descontos de consignações facultativas (ASSFAPOM).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se verifique se os descontos relativos às consignações facultativas e compulsórias estão dentro do limite.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7636759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6482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Verificar total de consignações</w:t>
      </w:r>
      <w:bookmarkEnd w:id="12"/>
    </w:p>
    <w:p/>
    <w:p>
      <w:pPr>
        <w:pStyle w:val="bizHeading4"/>
      </w:pPr>
      <w:bookmarkStart w:id="13" w:name="_Toc256000009"/>
      <w:r>
        <w:drawing>
          <wp:inline>
            <wp:extent cx="152421" cy="152421"/>
            <wp:docPr id="21160906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4516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Verificar se há necessidade de suspender consignações facultativas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Verificar se há necessidade de suspender averbações facultativas.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 (script).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Verifica se há necessidade de suspender averbações facultativas, baseado no percentual de descontos, no valor excedido e na existência de consignações facultativas.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a finalização do cálculo da matrícula.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Calcular o percentual de consignações facultativas:</w:t>
      </w:r>
    </w:p>
    <w:tbl>
      <w:tblPr>
        <w:tblW w:w="1750" w:type="pct"/>
        <w:jc w:val="center"/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275"/>
        <w:gridCol w:w="405"/>
        <w:gridCol w:w="1294"/>
        <w:gridCol w:w="198"/>
      </w:tblGrid>
      <w:tr>
        <w:tblPrEx>
          <w:tblW w:w="1750" w:type="pct"/>
          <w:jc w:val="center"/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631" w:type="dxa"/>
            <w:vMerge w:val="restart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Desconto total de consignações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311" w:type="dxa"/>
            <w:vMerge w:val="restart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40"/>
                <w:szCs w:val="40"/>
              </w:rPr>
              <w:t>=</w:t>
            </w:r>
          </w:p>
        </w:tc>
        <w:tc>
          <w:tcPr>
            <w:tcW w:w="12906" w:type="dxa"/>
            <w:tcBorders>
              <w:bottom w:val="single" w:sz="8" w:space="0" w:color="000000"/>
            </w:tcBorders>
            <w:shd w:val="clear" w:color="auto" w:fill="DCDCDC"/>
            <w:noWrap w:val="0"/>
            <w:tcMar>
              <w:top w:w="149" w:type="dxa"/>
              <w:left w:w="113" w:type="dxa"/>
              <w:bottom w:w="154" w:type="dxa"/>
              <w:right w:w="113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Total de descontos de consignações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(R$)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 * 100</w:t>
            </w:r>
          </w:p>
        </w:tc>
        <w:tc>
          <w:tcPr>
            <w:tcW w:w="576" w:type="dxa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 </w:t>
            </w:r>
          </w:p>
        </w:tc>
      </w:tr>
      <w:tr>
        <w:tblPrEx>
          <w:tblW w:w="1750" w:type="pct"/>
          <w:jc w:val="center"/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vMerge/>
            <w:vAlign w:val="center"/>
            <w:hideMark/>
          </w:tcPr>
          <w:p>
            <w:pP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vMerge/>
            <w:vAlign w:val="center"/>
            <w:hideMark/>
          </w:tcPr>
          <w:p>
            <w:pP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12906" w:type="dxa"/>
            <w:tcBorders>
              <w:top w:val="single" w:sz="8" w:space="0" w:color="000000"/>
            </w:tcBorders>
            <w:shd w:val="clear" w:color="auto" w:fill="DCDCDC"/>
            <w:noWrap w:val="0"/>
            <w:tcMar>
              <w:top w:w="154" w:type="dxa"/>
              <w:left w:w="113" w:type="dxa"/>
              <w:bottom w:w="149" w:type="dxa"/>
              <w:right w:w="113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Valor total das verbas remuneratória do Servidor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(R$)</w:t>
            </w:r>
          </w:p>
        </w:tc>
        <w:tc>
          <w:tcPr>
            <w:tcW w:w="576" w:type="dxa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 </w:t>
            </w:r>
          </w:p>
        </w:tc>
      </w:tr>
    </w:tbl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Verificar a necessidade de suspender se todas as condições abaixo forem satisfeitas (AND):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20"/>
          <w:szCs w:val="20"/>
        </w:rPr>
        <w:t xml:space="preserve">·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Desconto total de consignações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(%)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foram maior que 70%; e (AND),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20"/>
          <w:szCs w:val="20"/>
        </w:rPr>
        <w:t xml:space="preserve">·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Valor excedido for maior do que o tolerável; e (AND),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Há consignações facultativas a suspender.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Obs.: Caso todas as condições acima forem satisfeitas, as averbações deverão ser suspensas a fim de preservar os 30% de subsistência; senão, a análise crítica é finalizada.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Essa atividade acontece para que se verifique se os descontos relativos às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consignações facultativas e compulsórias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estão dentro do limite estipulado na Lei 622/2011 e se há necessidade/possibilidade de se suspender consignações facultativas.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jc w:val="center"/>
        <w:tblInd w:w="128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8710"/>
      </w:tblGrid>
      <w:tr>
        <w:tblPrEx>
          <w:tblW w:w="5000" w:type="pct"/>
          <w:jc w:val="center"/>
          <w:tblInd w:w="128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top"/>
            <w:hideMark/>
          </w:tcPr>
          <w:p>
            <w:pPr>
              <w:pStyle w:val="ModelerNormal"/>
              <w:shd w:val="clear" w:color="auto" w:fill="FFFFFF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 </w:t>
            </w:r>
          </w:p>
        </w:tc>
      </w:tr>
    </w:tbl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Complementar nº 622, de 11/07/2011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 xml:space="preserve">Art. 7º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A soma das consignações previstas nos artigos 5º e 6º desta Lei Complementar não excederá o percentual de 70% (setenta por cento) das verbas remuneratórias do servidor, respeitado o limite de 30% (trinta por cento) para os descontos facultativos.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GOVERNO DO ESTADO DE RONDÔNIA GOVERNADORIA n. 701, de 5/03/2013) (Dispositivo repristinado em razão da Ação Direta de Inconstitucionalidade n° 0800086-17.2021.8.22.0000, julgada procedente com efeito ex nunc, em 15/8/2022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5153029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4629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Verificar descontos de consignações facultativas (ASSFAPOM)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Verificar descontos de consignação facultativas (ASSFAPOM).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 (script).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Verifica se os descontos relativos as consignações facultativas dos associados da ASSFAPOM estão dentro do limite dos 30% (fora 5% de cartão de crédito) das verbas remuneratórias do servidor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a finalização do cálculo mensal da matrícula.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Calcular o percentual de consignações facultativas:</w:t>
      </w:r>
    </w:p>
    <w:tbl>
      <w:tblPr>
        <w:tblW w:w="1750" w:type="pct"/>
        <w:jc w:val="center"/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275"/>
        <w:gridCol w:w="405"/>
        <w:gridCol w:w="1294"/>
        <w:gridCol w:w="198"/>
      </w:tblGrid>
      <w:tr>
        <w:tblPrEx>
          <w:tblW w:w="1750" w:type="pct"/>
          <w:jc w:val="center"/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631" w:type="dxa"/>
            <w:vMerge w:val="restart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Desconto de consignações facultativas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311" w:type="dxa"/>
            <w:vMerge w:val="restart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40"/>
                <w:szCs w:val="40"/>
              </w:rPr>
              <w:t>=</w:t>
            </w:r>
          </w:p>
        </w:tc>
        <w:tc>
          <w:tcPr>
            <w:tcW w:w="12906" w:type="dxa"/>
            <w:tcBorders>
              <w:bottom w:val="single" w:sz="8" w:space="0" w:color="000000"/>
            </w:tcBorders>
            <w:shd w:val="clear" w:color="auto" w:fill="DCDCDC"/>
            <w:noWrap w:val="0"/>
            <w:tcMar>
              <w:top w:w="149" w:type="dxa"/>
              <w:left w:w="113" w:type="dxa"/>
              <w:bottom w:w="154" w:type="dxa"/>
              <w:right w:w="113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Total de descontos de consignações facultativas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(R$)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 * 100</w:t>
            </w:r>
          </w:p>
        </w:tc>
        <w:tc>
          <w:tcPr>
            <w:tcW w:w="576" w:type="dxa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 </w:t>
            </w:r>
          </w:p>
        </w:tc>
      </w:tr>
      <w:tr>
        <w:tblPrEx>
          <w:tblW w:w="1750" w:type="pct"/>
          <w:jc w:val="center"/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vMerge/>
            <w:vAlign w:val="center"/>
            <w:hideMark/>
          </w:tcPr>
          <w:p>
            <w:pP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vMerge/>
            <w:vAlign w:val="center"/>
            <w:hideMark/>
          </w:tcPr>
          <w:p>
            <w:pP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12906" w:type="dxa"/>
            <w:tcBorders>
              <w:top w:val="single" w:sz="8" w:space="0" w:color="000000"/>
            </w:tcBorders>
            <w:shd w:val="clear" w:color="auto" w:fill="DCDCDC"/>
            <w:noWrap w:val="0"/>
            <w:tcMar>
              <w:top w:w="154" w:type="dxa"/>
              <w:left w:w="113" w:type="dxa"/>
              <w:bottom w:w="149" w:type="dxa"/>
              <w:right w:w="113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Valor total das verbas remuneratória do Servidor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(R$)</w:t>
            </w:r>
          </w:p>
        </w:tc>
        <w:tc>
          <w:tcPr>
            <w:tcW w:w="576" w:type="dxa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 </w:t>
            </w:r>
          </w:p>
        </w:tc>
      </w:tr>
    </w:tbl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Obs.: Caso os descontos da verbas facultativas não excedam os 30% das verbas remuneratórias do servidor, será verificado então se os descontos estão excedendo os 70% das verbas remuneratórias do servidor; senão, averbações deverão ser suspensas a fim de preservar os 30% máximo permitidos para consignações facultativas da ASSFAPOM.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se verifique se os descontos relativos às consignações facultativas estão dentro do limite estipulado na Lei 622/2011.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tbl>
      <w:tblPr>
        <w:tblW w:w="5000" w:type="pct"/>
        <w:jc w:val="center"/>
        <w:tblInd w:w="128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8710"/>
      </w:tblGrid>
      <w:tr>
        <w:tblPrEx>
          <w:tblW w:w="5000" w:type="pct"/>
          <w:jc w:val="center"/>
          <w:tblInd w:w="128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top"/>
            <w:hideMark/>
          </w:tcPr>
          <w:p>
            <w:pPr>
              <w:pStyle w:val="ModelerNormal"/>
              <w:shd w:val="clear" w:color="auto" w:fill="FFFFFF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 </w:t>
            </w:r>
          </w:p>
        </w:tc>
      </w:tr>
    </w:tbl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Complementar nº 622, de 11/07/2011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 xml:space="preserve">Art. 7º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A soma das consignações previstas nos artigos 5º e 6º desta Lei Complementar não excederá o percentual de 70% (setenta por cento) das verbas remuneratórias do servidor, respeitado o limite de 30% (trinta por cento) para os descontos facultativos.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GOVERNO DO ESTADO DE RONDÔNIA GOVERNADORIA n. 701, de 5/03/2013) (Dispositivo repristinado em razão da Ação Direta de Inconstitucionalidade n° 0800086-17.2021.8.22.0000, julgada procedente com efeito ex nunc, em 15/8/2022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4991154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0436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Suspender</w:t>
      </w:r>
      <w:bookmarkEnd w:id="15"/>
    </w:p>
    <w:p/>
    <w:p>
      <w:pPr>
        <w:pStyle w:val="bizHeading4"/>
      </w:pPr>
      <w:bookmarkStart w:id="16" w:name="_Toc256000012"/>
      <w:r>
        <w:drawing>
          <wp:inline>
            <wp:extent cx="152421" cy="152421"/>
            <wp:docPr id="6186925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90708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Verificar total de consignações</w:t>
      </w:r>
      <w:bookmarkEnd w:id="16"/>
    </w:p>
    <w:p/>
    <w:p>
      <w:pPr>
        <w:pStyle w:val="bizHeading4"/>
      </w:pPr>
      <w:bookmarkStart w:id="17" w:name="_Toc256000013"/>
      <w:r>
        <w:drawing>
          <wp:inline>
            <wp:extent cx="152421" cy="152421"/>
            <wp:docPr id="177426412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3634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Suspender</w:t>
      </w:r>
      <w:bookmarkEnd w:id="17"/>
    </w:p>
    <w:p/>
    <w:p>
      <w:pPr>
        <w:pStyle w:val="bizHeading4"/>
      </w:pPr>
      <w:bookmarkStart w:id="18" w:name="_Toc256000014"/>
      <w:r>
        <w:drawing>
          <wp:inline>
            <wp:extent cx="152421" cy="152421"/>
            <wp:docPr id="163314800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7718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Suspender averbações de consignação facultativas</w:t>
      </w:r>
      <w:bookmarkEnd w:id="18"/>
    </w:p>
    <w:p/>
    <w:p>
      <w:hyperlink w:anchor="Id_59a493b9bd8c4128b725ce94da8ef8c6" w:tooltip="Ver detalhes" w:history="1">
        <w:r>
          <w:rPr>
            <w:color w:val="0000FF"/>
            <w:u w:val="single"/>
          </w:rPr>
          <w:t>Ver detalhes</w:t>
        </w:r>
      </w:hyperlink>
    </w:p>
    <w:p>
      <w:pPr>
        <w:pStyle w:val="BoldModelerNormal"/>
      </w:pPr>
      <w:r>
        <w:t>Tipo de loop</w:t>
      </w:r>
    </w:p>
    <w:p>
      <w:pPr>
        <w:pStyle w:val="ModelerNormal"/>
      </w:pPr>
      <w:r>
        <w:t>Padrão</w:t>
      </w:r>
    </w:p>
    <w:p>
      <w:pPr>
        <w:pStyle w:val="BoldModelerNormal"/>
      </w:pPr>
      <w:r>
        <w:t>Máximo ciclo</w:t>
      </w:r>
    </w:p>
    <w:p>
      <w:pPr>
        <w:pStyle w:val="ModelerNormal"/>
      </w:pPr>
      <w:r>
        <w:t>0</w:t>
      </w:r>
    </w:p>
    <w:p>
      <w:pPr>
        <w:pStyle w:val="BoldModelerNormal"/>
      </w:pPr>
      <w:r>
        <w:t>Tempo de teste</w:t>
      </w:r>
    </w:p>
    <w:p>
      <w:pPr>
        <w:pStyle w:val="ModelerNormal"/>
      </w:pPr>
      <w:r>
        <w:t>Depois</w:t>
      </w:r>
    </w:p>
    <w:p>
      <w:pPr>
        <w:pStyle w:val="ModelerNormal"/>
      </w:pPr>
    </w:p>
    <w:p>
      <w:pPr>
        <w:pStyle w:val="bizHeading4"/>
      </w:pPr>
      <w:bookmarkStart w:id="19" w:name="_Toc256000015"/>
      <w:r>
        <w:drawing>
          <wp:inline>
            <wp:extent cx="152421" cy="152421"/>
            <wp:docPr id="6760070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9066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Refazer cálculo da matrícula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Refazer cálculo da matrícula.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 (script).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Refazer o cálculo da matrícula para determinar a base de margem consignável e o rendimento líquido.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o suspender as consignações necessárias para manter os 30% de subsistência do servidor.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Calcular a folha mensal da matrícula.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se verifique se os descontos relativos às consignações ficaram dentro do limite após as devidas suspensão.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177379117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564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Finalizar cálculo da matrícula</w:t>
      </w:r>
      <w:bookmarkEnd w:id="20"/>
    </w:p>
    <w:p/>
    <w:p>
      <w:pPr>
        <w:pStyle w:val="bizHeading2"/>
      </w:pPr>
      <w:bookmarkStart w:id="21" w:name="Id_59a493b9bd8c4128b725ce94da8ef8c6"/>
      <w:bookmarkStart w:id="22" w:name="_Toc256000017"/>
      <w:r>
        <w:t>Suspender averbações de consignação facultativas</w:t>
      </w:r>
      <w:bookmarkEnd w:id="22"/>
    </w:p>
    <w:p>
      <w:pPr>
        <w:jc w:val="center"/>
      </w:pPr>
      <w:bookmarkEnd w:id="21"/>
      <w:r>
        <w:drawing>
          <wp:inline>
            <wp:extent cx="5612130" cy="3673002"/>
            <wp:docPr id="1000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19358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73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3"/>
      </w:pPr>
      <w:bookmarkStart w:id="23" w:name="_Toc256000018"/>
      <w:r>
        <w:t>Elementos do processo</w:t>
      </w:r>
      <w:bookmarkEnd w:id="23"/>
    </w:p>
    <w:p>
      <w:pPr>
        <w:pStyle w:val="bizHeading4"/>
      </w:pPr>
      <w:bookmarkStart w:id="24" w:name="_Toc256000019"/>
      <w:r>
        <w:drawing>
          <wp:inline>
            <wp:extent cx="152421" cy="152421"/>
            <wp:docPr id="48064756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13964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Verificar valor excedido</w:t>
      </w:r>
      <w:bookmarkEnd w:id="24"/>
    </w:p>
    <w:p/>
    <w:p>
      <w:pPr>
        <w:pStyle w:val="bizHeading4"/>
      </w:pPr>
      <w:bookmarkStart w:id="25" w:name="_Toc256000020"/>
      <w:r>
        <w:drawing>
          <wp:inline>
            <wp:extent cx="152421" cy="152421"/>
            <wp:docPr id="213630390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0644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Verificar o valor excedido</w:t>
      </w:r>
      <w:bookmarkEnd w:id="2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Verifica o valor excedido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 (script).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Verificar se o valor excedido (em R$) é igual ou menor do que zero reais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&lt;= R$ 0,00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Quando houver necessidade de suspender um averbação de consignação facultativa: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20"/>
          <w:szCs w:val="20"/>
        </w:rPr>
        <w:t xml:space="preserve">·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constatar que as consignações estão fora do limite permitido por lei; ou,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suspender uma consignação facultativa.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 Verificar se valor excedido (em R$)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ainda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é igual ou menor do que zero reais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&lt;= R$ 0,00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Obs.: Caso o valor excedido seja maior ou igual a zero então as suspensões serão encerradas; senão, será verificada se existem averbações facultativas que podem ser suspensas seguindo ordem definida em lei.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Essa atividade acontece para determinar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se não haverá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necessidade de suspender averbações no caso do valor excedido ser menor ou igual a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&lt;= R$ 0,00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6" w:name="_Toc256000021"/>
      <w:r>
        <w:drawing>
          <wp:inline>
            <wp:extent cx="152421" cy="152421"/>
            <wp:docPr id="1162945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67736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Verificar quantidade de consignações de Cartão de Crédito</w:t>
      </w:r>
      <w:bookmarkEnd w:id="2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Verifica quantidade de consignações de Cartão de Crédito.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 (script).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Verificar se existe averbações de consignações de Cartão de Crédito.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Quando constatar que o valor excedido é maior do que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&gt; R$ 0,00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 Verificar se a quantidade de averbações de consignações de Cartão de Crédito é maior ou igual a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quantidade &gt; 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Essa atividade acontece para determinar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se há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averbações de Cartão de Crédito para suspender no caso do valor excedido ser maior do que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&gt; R$ 0,00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7" w:name="_Toc256000022"/>
      <w:r>
        <w:drawing>
          <wp:inline>
            <wp:extent cx="152421" cy="152421"/>
            <wp:docPr id="93458186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791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Verificar quantidade de consignações do Inciso VI, § 3°, Art. 7º.</w:t>
      </w:r>
      <w:bookmarkEnd w:id="27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Verifica quantidade de consignações do Inciso III, §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3º, Art. 7º.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 (script).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Verificar se existe averbações de consignações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contribuição para previdência privada, plano de pecúlio, seguro de vida ou renda mensal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Quando constatar que não existem mais averbações de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Cartão de Crédito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 = 0 )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para suspender.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 Verificar se a quantidade de averbações de consignações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contribuição para previdência privada, plano de pecúlio, seguro de vida ou renda mensal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é maior ou igual a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quantidade &gt; 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Essa atividade acontece para determinar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se há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averbações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contribuição para previdência privada, plano de pecúlio, seguro de vida ou renda mensal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para suspender no caso do valor excedido ser maior do que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&gt; R$ 0,00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jc w:val="center"/>
        <w:tblInd w:w="128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8710"/>
      </w:tblGrid>
      <w:tr>
        <w:tblPrEx>
          <w:tblW w:w="5000" w:type="pct"/>
          <w:jc w:val="center"/>
          <w:tblInd w:w="128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 </w:t>
            </w:r>
          </w:p>
        </w:tc>
      </w:tr>
    </w:tbl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Complementar nº 622, de 11/07/2011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 xml:space="preserve">Art. 7º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A soma das consignações previstas nos artigos 5º e 6º desta Lei Complementar não excederá o percentual de 70% (setenta por cento) das verbas remuneratórias do servidor, respeitado o limite de 30% (trinta por cento) para os descontos facultativos.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GOVERNO DO ESTADO DE RONDÔNIA GOVERNADORIA n. 701, de 5/03/2013) (Dispositivo repristinado em razão da Ação Direta de Inconstitucionalidade n° 0800086-17.2021.8.22.0000, julgada procedente com efeito ex nunc, em 15/8/2022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)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[...]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3°. CASO A SOMA DAS CONSIGNAÇÕES PREVISTAS NESTA LEI COMPLEMENTAR EXCEDA O LIMITE DE 70% DEFINIDO NO CAPUT DESTE ARTIGO, OS DESCONTOS RELATIVOS ÀS CONSIGNAÇÕES FACULTATIVAS SERÃO SUSPENSOS ATÉ FICAREM AQUÉM DESSE PARÂMETRO, OBSERVANDO-SE OS SEGUINTES NÍVEIS DE PRIORIDADE PARA MANUTENÇÃO EM FOLHA DE PAGAMENTO: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N. 701, DE 5/03/2013)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 – mensalidade instituída para custeio de entidade de classe ou associação, representativa dos servidores públicos estaduais;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II – mensalidade instituída para custeio de operadora de plano privado de saúde, em favor do consignado e seus beneficiários;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III – amortização e juros de dívidas pessoais contraídas mediante contrato formal de empréstimo consignado junto às instituições financeiras e cooperativas de crédito; e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IV – descontos facultativos averbados em folha de pagamento sob os critérios previstos em lei anterior com prazo determinado.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 - descontos facultativos em favor do Hospital do Câncer em Rondônia, na forma do inciso V, do caput do artigo 6º.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(Acrescido pela Lei Complementar n. 882, de 27/06/2016).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VI - CONTRIBUIÇÃO PARA PREVIDÊNCIA PRIVADA, PLANO DE PECÚLIO, SEGURO DE VIDA OU RENDA MENSAL.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(ACRESCIDO PELA LEI COMPLEMENTAR Nº 985, DE 6/7/2018)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4°. Havendo concorrência entre consignações facultativas de mesmo nível de prioridade será observado, para efeito de prevalência, o critério da antiguidade, de modo que a consignação anterior prevaleça sobre a posterior.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(Redação dada pela Lei Complementar n. 701, de 5/03/2013)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28" w:name="_Toc256000023"/>
      <w:r>
        <w:drawing>
          <wp:inline>
            <wp:extent cx="152421" cy="152421"/>
            <wp:docPr id="11209920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393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Verificar quantidade de consignações do Inciso V, § 3°, Art. 7º.</w:t>
      </w:r>
      <w:bookmarkEnd w:id="28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Verifica quantidade de consignações do Inciso III, §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3º, Art. 7º.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 (script).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Verificar se existe averbações de consignações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descontos facultativos em favor do Hospital do Câncer em Rondônia, na forma do inciso V, do caput do artigo 6º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Quando constatar que não existem mais averbações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contribuição para previdência privada, plano de pecúlio, seguro de vida ou renda mensal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 = 0 )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para suspender.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 Verificar se a quantidade de averbações de consignações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descontos facultativos em favor do Hospital do Câncer em Rondônia, na forma do inciso V, do caput do artigo 6º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é maior ou igual a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quantidade &gt; 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Essa atividade acontece para determinar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se há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averbações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descontos facultativos em favor do Hospital do Câncer em Rondônia, na forma do inciso V, do caput do artigo 6º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para suspender no caso do valor excedido ser maior do que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&gt; R$ 0,00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jc w:val="center"/>
        <w:tblInd w:w="128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8710"/>
      </w:tblGrid>
      <w:tr>
        <w:tblPrEx>
          <w:tblW w:w="5000" w:type="pct"/>
          <w:jc w:val="center"/>
          <w:tblInd w:w="128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 </w:t>
            </w:r>
          </w:p>
        </w:tc>
      </w:tr>
    </w:tbl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Complementar nº 622, de 11/07/2011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 xml:space="preserve">Art. 7º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A soma das consignações previstas nos artigos 5º e 6º desta Lei Complementar não excederá o percentual de 70% (setenta por cento) das verbas remuneratórias do servidor, respeitado o limite de 30% (trinta por cento) para os descontos facultativos.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GOVERNO DO ESTADO DE RONDÔNIA GOVERNADORIA n. 701, de 5/03/2013) (Dispositivo repristinado em razão da Ação Direta de Inconstitucionalidade n° 0800086-17.2021.8.22.0000, julgada procedente com efeito ex nunc, em 15/8/2022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)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[...]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3°. CASO A SOMA DAS CONSIGNAÇÕES PREVISTAS NESTA LEI COMPLEMENTAR EXCEDA O LIMITE DE 70% DEFINIDO NO CAPUT DESTE ARTIGO, OS DESCONTOS RELATIVOS ÀS CONSIGNAÇÕES FACULTATIVAS SERÃO SUSPENSOS ATÉ FICAREM AQUÉM DESSE PARÂMETRO, OBSERVANDO-SE OS SEGUINTES NÍVEIS DE PRIORIDADE PARA MANUTENÇÃO EM FOLHA DE PAGAMENTO: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N. 701, DE 5/03/2013)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 – mensalidade instituída para custeio de entidade de classe ou associação, representativa dos servidores públicos estaduais;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II – mensalidade instituída para custeio de operadora de plano privado de saúde, em favor do consignado e seus beneficiários;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III – amortização e juros de dívidas pessoais contraídas mediante contrato formal de empréstimo consignado junto às instituições financeiras e cooperativas de crédito; e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IV – descontos facultativos averbados em folha de pagamento sob os critérios previstos em lei anterior com prazo determinado.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 - DESCONTOS FACULTATIVOS EM FAVOR DO HOSPITAL DO CÂNCER EM RONDÔNIA, NA FORMA DO INCISO V, DO CAPUT DO ARTIGO 6º.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(ACRESCIDO PELA LEI COMPLEMENTAR N. 882, DE 27/06/2016).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VI - contribuição para previdência privada, plano de pecúlio, seguro de vida ou renda mensal.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(Acrescido pela Lei Complementar nº 985, de 6/7/2018)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4°. Havendo concorrência entre consignações facultativas de mesmo nível de prioridade será observado, para efeito de prevalência, o critério da antiguidade, de modo que a consignação anterior prevaleça sobre a posterior.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(Redação dada pela Lei Complementar n. 701, de 5/03/2013)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9" w:name="_Toc256000024"/>
      <w:r>
        <w:drawing>
          <wp:inline>
            <wp:extent cx="152421" cy="152421"/>
            <wp:docPr id="11487176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75784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Verificar quantidade de consignações do Inciso IV, § 3°, Art. 7º.</w:t>
      </w:r>
      <w:bookmarkEnd w:id="29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Verifica quantidade de consignações do Inciso III, §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3º, Art. 7º.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 (script).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Verificar se existe averbações de consignações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descontos facultativos averbados em folha de pagamento sob os critérios previstos em lei anterior com prazo determinado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Quando constatar que não existem mais averbações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descontos facultativos em favor do Hospital do Câncer em Rondônia, na forma do inciso V, do caput do artigo 6º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 = 0 )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para suspender.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 Verificar se a quantidade de averbações de consignações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descontos facultativos averbados em folha de pagamento sob os critérios previstos em lei anterior com prazo determinado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é maior ou igual a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quantidade &gt; 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Essa atividade acontece para determinar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se há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averbações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descontos facultativos averbados em folha de pagamento sob os critérios previstos em lei anterior com prazo determinado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para suspender no caso do valor excedido ser maior do que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&gt; R$ 0,00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jc w:val="center"/>
        <w:tblInd w:w="128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8710"/>
      </w:tblGrid>
      <w:tr>
        <w:tblPrEx>
          <w:tblW w:w="5000" w:type="pct"/>
          <w:jc w:val="center"/>
          <w:tblInd w:w="128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 </w:t>
            </w:r>
          </w:p>
        </w:tc>
      </w:tr>
    </w:tbl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Complementar nº 622, de 11/07/2011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 xml:space="preserve">Art. 7º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A soma das consignações previstas nos artigos 5º e 6º desta Lei Complementar não excederá o percentual de 70% (setenta por cento) das verbas remuneratórias do servidor, respeitado o limite de 30% (trinta por cento) para os descontos facultativos.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GOVERNO DO ESTADO DE RONDÔNIA GOVERNADORIA n. 701, de 5/03/2013) (Dispositivo repristinado em razão da Ação Direta de Inconstitucionalidade n° 0800086-17.2021.8.22.0000, julgada procedente com efeito ex nunc, em 15/8/2022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)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[...]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3°. CASO A SOMA DAS CONSIGNAÇÕES PREVISTAS NESTA LEI COMPLEMENTAR EXCEDA O LIMITE DE 70% DEFINIDO NO CAPUT DESTE ARTIGO, OS DESCONTOS RELATIVOS ÀS CONSIGNAÇÕES FACULTATIVAS SERÃO SUSPENSOS ATÉ FICAREM AQUÉM DESSE PARÂMETRO, OBSERVANDO-SE OS SEGUINTES NÍVEIS DE PRIORIDADE PARA MANUTENÇÃO EM FOLHA DE PAGAMENTO: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N. 701, DE 5/03/2013)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 – mensalidade instituída para custeio de entidade de classe ou associação, representativa dos servidores públicos estaduais;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II – mensalidade instituída para custeio de operadora de plano privado de saúde, em favor do consignado e seus beneficiários;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III – amortização e juros de dívidas pessoais contraídas mediante contrato formal de empréstimo consignado junto às instituições financeiras e cooperativas de crédito; e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IV – DESCONTOS FACULTATIVOS AVERBADOS EM FOLHA DE PAGAMENTO SOB OS CRITÉRIOS PREVISTOS EM LEI ANTERIOR COM PRAZO DETERMINADO.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 - descontos facultativos em favor do Hospital do Câncer em Rondônia, na forma do inciso V, do caput do artigo 6º.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(Acrescido pela Lei Complementar n. 882, de 27/06/2016).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VI - contribuição para previdência privada, plano de pecúlio, seguro de vida ou renda mensal.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(Acrescido pela Lei Complementar nº 985, de 6/7/2018)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4°. Havendo concorrência entre consignações facultativas de mesmo nível de prioridade será observado, para efeito de prevalência, o critério da antiguidade, de modo que a consignação anterior prevaleça sobre a posterior.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(Redação dada pela Lei Complementar n. 701, de 5/03/2013)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30" w:name="_Toc256000025"/>
      <w:r>
        <w:drawing>
          <wp:inline>
            <wp:extent cx="152421" cy="152421"/>
            <wp:docPr id="202683055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3456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Verificar quantidade de consignações do Inciso III, § 3°, Art. 7º.</w:t>
      </w:r>
      <w:bookmarkEnd w:id="30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Verifica quantidade de consignações do Inciso III, §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3º, Art. 7º.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 (script).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Verificar se existe averbações de consignações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amortização e juros de dívidas pessoais contraídas mediante contrato formal de empréstimo consignado junto às instituições financeiras e cooperativas de crédito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Quando constatar que não existem mais averbações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descontos facultativos averbados em folha de pagamento sob os critérios previstos em lei anterior com prazo determinado.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 = 0 )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para suspender.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 Verificar se a quantidade de averbações de consignações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amortização e juros de dívidas pessoais contraídas mediante contrato formal de empréstimo consignado junto às instituições financeiras e cooperativas de crédito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é maior ou igual a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quantidade &gt; 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Essa atividade acontece para determinar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se há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averbações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amortização e juros de dívidas pessoais contraídas mediante contrato formal de empréstimo consignado junto às instituições financeiras e cooperativas de crédito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para suspender no caso do valor excedido ser maior do que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&gt; R$ 0,00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jc w:val="center"/>
        <w:tblInd w:w="128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8710"/>
      </w:tblGrid>
      <w:tr>
        <w:tblPrEx>
          <w:tblW w:w="5000" w:type="pct"/>
          <w:jc w:val="center"/>
          <w:tblInd w:w="128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 </w:t>
            </w:r>
          </w:p>
        </w:tc>
      </w:tr>
    </w:tbl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Complementar nº 622, de 11/07/2011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 xml:space="preserve">Art. 7º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A soma das consignações previstas nos artigos 5º e 6º desta Lei Complementar não excederá o percentual de 70% (setenta por cento) das verbas remuneratórias do servidor, respeitado o limite de 30% (trinta por cento) para os descontos facultativos.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GOVERNO DO ESTADO DE RONDÔNIA GOVERNADORIA n. 701, de 5/03/2013) (Dispositivo repristinado em razão da Ação Direta de Inconstitucionalidade n° 0800086-17.2021.8.22.0000, julgada procedente com efeito ex nunc, em 15/8/2022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)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[...]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3°. CASO A SOMA DAS CONSIGNAÇÕES PREVISTAS NESTA LEI COMPLEMENTAR EXCEDA O LIMITE DE 70% DEFINIDO NO CAPUT DESTE ARTIGO, OS DESCONTOS RELATIVOS ÀS CONSIGNAÇÕES FACULTATIVAS SERÃO SUSPENSOS ATÉ FICAREM AQUÉM DESSE PARÂMETRO, OBSERVANDO-SE OS SEGUINTES NÍVEIS DE PRIORIDADE PARA MANUTENÇÃO EM FOLHA DE PAGAMENTO: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N. 701, DE 5/03/2013)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 – mensalidade instituída para custeio de entidade de classe ou associação, representativa dos servidores públicos estaduais;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II – mensalidade instituída para custeio de operadora de plano privado de saúde, em favor do consignado e seus beneficiários;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III – AMORTIZAÇÃO E JUROS DE DÍVIDAS PESSOAIS CONTRAÍDAS MEDIANTE CONTRATO FORMAL DE EMPRÉSTIMO CONSIGNADO JUNTO ÀS INSTITUIÇÕES FINANCEIRAS E COOPERATIVAS DE CRÉDITO; E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IV – descontos facultativos averbados em folha de pagamento sob os critérios previstos em lei anterior com prazo determinado.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 - descontos facultativos em favor do Hospital do Câncer em Rondônia, na forma do inciso V, do caput do artigo 6º.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(Acrescido pela Lei Complementar n. 882, de 27/06/2016).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VI - contribuição para previdência privada, plano de pecúlio, seguro de vida ou renda mensal.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(Acrescido pela Lei Complementar nº 985, de 6/7/2018)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4°. Havendo concorrência entre consignações facultativas de mesmo nível de prioridade será observado, para efeito de prevalência, o critério da antiguidade, de modo que a consignação anterior prevaleça sobre a posterior.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(Redação dada pela Lei Complementar n. 701, de 5/03/2013)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31" w:name="_Toc256000026"/>
      <w:r>
        <w:drawing>
          <wp:inline>
            <wp:extent cx="152421" cy="152421"/>
            <wp:docPr id="152987958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58484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Verificar quantidade de consignações do Inciso II, § 3°, Art. 7º.</w:t>
      </w:r>
      <w:bookmarkEnd w:id="31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Verifica quantidade de consignações do Inciso II, §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3º, Art. 7º.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 (script).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Verificar se existe averbações de consignações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mensalidade instituída para custeio de operadora de plano privado de saúde, em favor do consignado e seus beneficiários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Quando constatar que não existem mais averbações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amortização e juros de dívidas pessoais contraídas mediante contrato formal de empréstimo consignado junto às instituições financeiras e cooperativas de crédito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 = 0 )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para suspender.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 Verificar se a quantidade de averbações de consignações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mensalidade instituída para custeio de operadora de plano privado de saúde, em favor do consignado e seus beneficiários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é maior ou igual a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quantidade &gt; 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Essa atividade acontece para determinar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se há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averbações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mensalidade instituída para custeio de operadora de plano privado de saúde, em favor do consignado e seus beneficiários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para suspender no caso do valor excedido ser maior do que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&gt; R$ 0,00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jc w:val="center"/>
        <w:tblInd w:w="128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8710"/>
      </w:tblGrid>
      <w:tr>
        <w:tblPrEx>
          <w:tblW w:w="5000" w:type="pct"/>
          <w:jc w:val="center"/>
          <w:tblInd w:w="128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 </w:t>
            </w:r>
          </w:p>
        </w:tc>
      </w:tr>
    </w:tbl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Complementar nº 622, de 11/07/2011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 xml:space="preserve">Art. 7º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A soma das consignações previstas nos artigos 5º e 6º desta Lei Complementar não excederá o percentual de 70% (setenta por cento) das verbas remuneratórias do servidor, respeitado o limite de 30% (trinta por cento) para os descontos facultativos.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GOVERNO DO ESTADO DE RONDÔNIA GOVERNADORIA n. 701, de 5/03/2013) (Dispositivo repristinado em razão da Ação Direta de Inconstitucionalidade n° 0800086-17.2021.8.22.0000, julgada procedente com efeito ex nunc, em 15/8/2022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)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[...]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3°. CASO A SOMA DAS CONSIGNAÇÕES PREVISTAS NESTA LEI COMPLEMENTAR EXCEDA O LIMITE DE 70% DEFINIDO NO CAPUT DESTE ARTIGO, OS DESCONTOS RELATIVOS ÀS CONSIGNAÇÕES FACULTATIVAS SERÃO SUSPENSOS ATÉ FICAREM AQUÉM DESSE PARÂMETRO, OBSERVANDO-SE OS SEGUINTES NÍVEIS DE PRIORIDADE PARA MANUTENÇÃO EM FOLHA DE PAGAMENTO: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N. 701, DE 5/03/2013)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 – mensalidade instituída para custeio de entidade de classe ou associação, representativa dos servidores públicos estaduais;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II – MENSALIDADE INSTITUÍDA PARA CUSTEIO DE OPERADORA DE PLANO PRIVADO DE SAÚDE, EM FAVOR DO CONSIGNADO E SEUS BENEFICIÁRIOS;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III – amortização e juros de dívidas pessoais contraídas mediante contrato formal de empréstimo consignado junto às instituições financeiras e cooperativas de crédito; e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IV – descontos facultativos averbados em folha de pagamento sob os critérios previstos em lei anterior com prazo determinado.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 - descontos facultativos em favor do Hospital do Câncer em Rondônia, na forma do inciso V, do caput do artigo 6º.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(Acrescido pela Lei Complementar n. 882, de 27/06/2016).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VI - contribuição para previdência privada, plano de pecúlio, seguro de vida ou renda mensal.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(Acrescido pela Lei Complementar nº 985, de 6/7/2018)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4°. Havendo concorrência entre consignações facultativas de mesmo nível de prioridade será observado, para efeito de prevalência, o critério da antiguidade, de modo que a consignação anterior prevaleça sobre a posterior.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(Redação dada pela Lei Complementar n. 701, de 5/03/2013)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32" w:name="_Toc256000027"/>
      <w:r>
        <w:drawing>
          <wp:inline>
            <wp:extent cx="152421" cy="152421"/>
            <wp:docPr id="15871781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2094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Verificar quantidade de consignações do Inciso I, § 3°, Art. 7º.</w:t>
      </w:r>
      <w:bookmarkEnd w:id="32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Verificar quantidade de consignações do Inciso I, § 3°, Art. 7º.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 (script).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Verificar se existe averbações de consignações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mensalidade instituída para custeio de entidade de classe ou associação, representativa dos servidores públicos estaduais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Quando constatar que não existem mais averbações de 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mensalidade instituída para custeio de operadora de plano privado de saúde, em favor do consignado e seus beneficiários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 = 0 )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para suspender.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 Verificar se a quantidade de averbações de consignações de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Cartão de Crédito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é maior ou igual a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quantidade &gt; 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Essa atividade acontece para determinar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se há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averbações de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Cartão de Crédito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para suspender no caso do valor excedido ser maior do que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&gt; R$ 0,00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tbl>
      <w:tblPr>
        <w:tblW w:w="5000" w:type="pct"/>
        <w:jc w:val="center"/>
        <w:tblInd w:w="128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8710"/>
      </w:tblGrid>
      <w:tr>
        <w:tblPrEx>
          <w:tblW w:w="5000" w:type="pct"/>
          <w:jc w:val="center"/>
          <w:tblInd w:w="128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Segoe UI" w:eastAsia="Segoe UI" w:hAnsi="Segoe UI" w:cs="Segoe UI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  <w:t> </w:t>
            </w:r>
          </w:p>
        </w:tc>
      </w:tr>
    </w:tbl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Complementar nº 622, de 11/07/2011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 xml:space="preserve">Art. 7º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A soma das consignações previstas nos artigos 5º e 6º desta Lei Complementar não excederá o percentual de 70% (setenta por cento) das verbas remuneratórias do servidor, respeitado o limite de 30% (trinta por cento) para os descontos facultativos.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GOVERNO DO ESTADO DE RONDÔNIA GOVERNADORIA n. 701, de 5/03/2013) (Dispositivo repristinado em razão da Ação Direta de Inconstitucionalidade n° 0800086-17.2021.8.22.0000, julgada procedente com efeito ex nunc, em 15/8/2022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)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[...]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3°. CASO A SOMA DAS CONSIGNAÇÕES PREVISTAS NESTA LEI COMPLEMENTAR EXCEDA O LIMITE DE 70% DEFINIDO NO CAPUT DESTE ARTIGO, OS DESCONTOS RELATIVOS ÀS CONSIGNAÇÕES FACULTATIVAS SERÃO SUSPENSOS ATÉ FICAREM AQUÉM DESSE PARÂMETRO, OBSERVANDO-SE OS SEGUINTES NÍVEIS DE PRIORIDADE PARA MANUTENÇÃO EM FOLHA DE PAGAMENTO: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N. 701, DE 5/03/2013)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 – MENSALIDADE INSTITUÍDA PARA CUSTEIO DE ENTIDADE DE CLASSE OU ASSOCIAÇÃO, REPRESENTATIVA DOS SERVIDORES PÚBLICOS ESTADUAIS;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II – mensalidade instituída para custeio de operadora de plano privado de saúde, em favor do consignado e seus beneficiários;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III – amortização e juros de dívidas pessoais contraídas mediante contrato formal de empréstimo consignado junto às instituições financeiras e cooperativas de crédito; e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IV – descontos facultativos averbados em folha de pagamento sob os critérios previstos em lei anterior com prazo determinado.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(Incluído pela Lei Complementar n. 701, de 5/03/2013)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 - descontos facultativos em favor do Hospital do Câncer em Rondônia, na forma do inciso V, do caput do artigo 6º.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(Acrescido pela Lei Complementar n. 882, de 27/06/2016).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VI - contribuição para previdência privada, plano de pecúlio, seguro de vida ou renda mensal.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(Acrescido pela Lei Complementar nº 985, de 6/7/2018)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4°. Havendo concorrência entre consignações facultativas de mesmo nível de prioridade será observado, para efeito de prevalência, o critério da antiguidade, de modo que a consignação anterior prevaleça sobre a posterior.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(Redação dada pela Lei Complementar n. 701, de 5/03/2013)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33" w:name="_Toc256000028"/>
      <w:r>
        <w:drawing>
          <wp:inline>
            <wp:extent cx="152421" cy="152421"/>
            <wp:docPr id="15236096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1359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Suspender consignação</w:t>
      </w:r>
      <w:bookmarkEnd w:id="33"/>
    </w:p>
    <w:p/>
    <w:p>
      <w:pPr>
        <w:pStyle w:val="bizHeading4"/>
      </w:pPr>
      <w:bookmarkStart w:id="34" w:name="_Toc256000029"/>
      <w:r>
        <w:drawing>
          <wp:inline>
            <wp:extent cx="152421" cy="152421"/>
            <wp:docPr id="162928678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7028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Suspender consignação</w:t>
      </w:r>
      <w:bookmarkEnd w:id="34"/>
    </w:p>
    <w:p/>
    <w:p>
      <w:pPr>
        <w:pStyle w:val="bizHeading4"/>
      </w:pPr>
      <w:bookmarkStart w:id="35" w:name="_Toc256000030"/>
      <w:r>
        <w:drawing>
          <wp:inline>
            <wp:extent cx="152421" cy="152421"/>
            <wp:docPr id="170895034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8366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Suspender consignação</w:t>
      </w:r>
      <w:bookmarkEnd w:id="35"/>
    </w:p>
    <w:p/>
    <w:p>
      <w:pPr>
        <w:pStyle w:val="bizHeading4"/>
      </w:pPr>
      <w:bookmarkStart w:id="36" w:name="_Toc256000031"/>
      <w:r>
        <w:drawing>
          <wp:inline>
            <wp:extent cx="152421" cy="152421"/>
            <wp:docPr id="28699817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3462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Suspender consignação</w:t>
      </w:r>
      <w:bookmarkEnd w:id="36"/>
    </w:p>
    <w:p/>
    <w:p>
      <w:pPr>
        <w:pStyle w:val="bizHeading4"/>
      </w:pPr>
      <w:bookmarkStart w:id="37" w:name="_Toc256000032"/>
      <w:r>
        <w:drawing>
          <wp:inline>
            <wp:extent cx="152421" cy="152421"/>
            <wp:docPr id="4442189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43979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Suspender consignação</w:t>
      </w:r>
      <w:bookmarkEnd w:id="37"/>
    </w:p>
    <w:p/>
    <w:p>
      <w:pPr>
        <w:pStyle w:val="bizHeading4"/>
      </w:pPr>
      <w:bookmarkStart w:id="38" w:name="_Toc256000033"/>
      <w:r>
        <w:drawing>
          <wp:inline>
            <wp:extent cx="152421" cy="152421"/>
            <wp:docPr id="11116541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8125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Suspender consignação</w:t>
      </w:r>
      <w:bookmarkEnd w:id="38"/>
    </w:p>
    <w:p/>
    <w:p>
      <w:pPr>
        <w:pStyle w:val="bizHeading4"/>
      </w:pPr>
      <w:bookmarkStart w:id="39" w:name="_Toc256000034"/>
      <w:r>
        <w:drawing>
          <wp:inline>
            <wp:extent cx="152421" cy="152421"/>
            <wp:docPr id="3356739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65239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Suspender consignação</w:t>
      </w:r>
      <w:bookmarkEnd w:id="39"/>
    </w:p>
    <w:p/>
    <w:p>
      <w:pPr>
        <w:pStyle w:val="bizHeading4"/>
      </w:pPr>
      <w:bookmarkStart w:id="40" w:name="_Toc256000035"/>
      <w:r>
        <w:drawing>
          <wp:inline>
            <wp:extent cx="152421" cy="152421"/>
            <wp:docPr id="10372814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26748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Suspender consignação mais recente</w:t>
      </w:r>
      <w:bookmarkEnd w:id="4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Suspender consignação mais recente.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 (script).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Verifica a consignação mais recente e a suspende, em detrimento das mais antigas.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Quando constatar que existem averbações a serem suspensas.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Verificar qual das averbações do mesmo nível é a mais recente.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Informar o motivo da suspensão da averbação.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Suspender a averbação.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4: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Atualizar o valor excedido:</w:t>
      </w:r>
    </w:p>
    <w:tbl>
      <w:tblPr>
        <w:tblW w:w="1750" w:type="pct"/>
        <w:jc w:val="center"/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848"/>
        <w:gridCol w:w="343"/>
        <w:gridCol w:w="781"/>
        <w:gridCol w:w="168"/>
        <w:gridCol w:w="864"/>
        <w:gridCol w:w="168"/>
      </w:tblGrid>
      <w:tr>
        <w:tblPrEx>
          <w:tblW w:w="1750" w:type="pct"/>
          <w:jc w:val="center"/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631" w:type="dxa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Valor Excedido atualizado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(R$)</w:t>
            </w:r>
          </w:p>
        </w:tc>
        <w:tc>
          <w:tcPr>
            <w:tcW w:w="1311" w:type="dxa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40"/>
                <w:szCs w:val="40"/>
              </w:rPr>
              <w:t>=</w:t>
            </w:r>
          </w:p>
        </w:tc>
        <w:tc>
          <w:tcPr>
            <w:tcW w:w="4446" w:type="dxa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Valor Excedido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(R$)</w:t>
            </w:r>
          </w:p>
        </w:tc>
        <w:tc>
          <w:tcPr>
            <w:tcW w:w="4446" w:type="dxa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40"/>
                <w:szCs w:val="40"/>
              </w:rPr>
              <w:t>-</w:t>
            </w:r>
          </w:p>
        </w:tc>
        <w:tc>
          <w:tcPr>
            <w:tcW w:w="4446" w:type="dxa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Valor da averbação suspensa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(R$)</w:t>
            </w:r>
          </w:p>
        </w:tc>
        <w:tc>
          <w:tcPr>
            <w:tcW w:w="576" w:type="dxa"/>
            <w:shd w:val="clear" w:color="auto" w:fill="DCDCDC"/>
            <w:noWrap w:val="0"/>
            <w:tcMar>
              <w:top w:w="149" w:type="dxa"/>
              <w:left w:w="113" w:type="dxa"/>
              <w:bottom w:w="149" w:type="dxa"/>
              <w:right w:w="113" w:type="dxa"/>
            </w:tcMar>
            <w:vAlign w:val="center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 </w:t>
            </w:r>
          </w:p>
        </w:tc>
      </w:tr>
    </w:tbl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Essa atividade acontece para que o valor excedido seja menor ou igual a zero (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&lt;= R$ 0,00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).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jc w:val="center"/>
        <w:tblInd w:w="128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8710"/>
      </w:tblGrid>
      <w:tr>
        <w:tblPrEx>
          <w:tblW w:w="5000" w:type="pct"/>
          <w:jc w:val="center"/>
          <w:tblInd w:w="128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top"/>
            <w:hideMark/>
          </w:tcPr>
          <w:p>
            <w:pPr>
              <w:pStyle w:val="ModelerNormal"/>
              <w:shd w:val="clear" w:color="auto" w:fill="FFFFFF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 </w:t>
            </w:r>
          </w:p>
        </w:tc>
      </w:tr>
    </w:tbl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Complementar nº 622, de 11/07/2011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 xml:space="preserve">Art. 7º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A soma das consignações previstas nos artigos 5º e 6º desta Lei Complementar não excederá o percentual de 70% (setenta por cento) das verbas remuneratórias do servidor, respeitado o limite de 30% (trinta por cento) para os descontos facultativos.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GOVERNO DO ESTADO DE RONDÔNIA GOVERNADORIA n. 701, de 5/03/2013) (Dispositivo repristinado em razão da Ação Direta de Inconstitucionalidade n° 0800086-17.2021.8.22.0000, julgada procedente com efeito ex nunc, em 15/8/2022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)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[...]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§ 3°. Caso a soma das consignações previstas nesta Lei Complementar exceda o limite de 70% definido no caput deste artigo, os descontos relativos às consignações facultativas serão suspensos até ficarem aquém desse parâmetro, observando-se os seguintes níveis de prioridade para manutenção em folha de pagamento: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(Redação dada pela Lei Complementar n. 701, de 5/03/2013)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[...]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 § 4°. Havendo concorrência entre consignações facultativas de mesmo nível de prioridade será observado, para efeito de prevalência, o critério da antiguidade, de modo que a consignação anterior prevaleça sobre a posterior.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(Redação dada pela Lei Complementar n. 701, de 5/03/2013)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41" w:name="_Toc256000036"/>
      <w:r>
        <w:drawing>
          <wp:inline>
            <wp:extent cx="152421" cy="152421"/>
            <wp:docPr id="56014693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48139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Verificar valor excedido</w:t>
      </w:r>
      <w:bookmarkEnd w:id="41"/>
    </w:p>
    <w:p/>
    <w:p>
      <w:pPr>
        <w:pStyle w:val="bizHeading4"/>
      </w:pPr>
      <w:bookmarkStart w:id="42" w:name="_Toc256000037"/>
      <w:r>
        <w:drawing>
          <wp:inline>
            <wp:extent cx="152421" cy="152421"/>
            <wp:docPr id="4054339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478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Inciso I, § 3°, Art. 7º.</w:t>
      </w:r>
      <w:bookmarkEnd w:id="42"/>
      <w:r>
        <w:t xml:space="preserve"> 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I – mensalidade instituída para custeio de entidade de classe ou associação, representativa dos servidores públicos estaduais; (Incluído pela Lei Complementar n. 701, de 5/03/2013)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</w:p>
    <w:p>
      <w:pPr>
        <w:pStyle w:val="bizHeading4"/>
      </w:pPr>
      <w:bookmarkStart w:id="43" w:name="_Toc256000038"/>
      <w:r>
        <w:drawing>
          <wp:inline>
            <wp:extent cx="152421" cy="152421"/>
            <wp:docPr id="187513801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1378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Inciso VI, § 3°, Art. 7º.</w:t>
      </w:r>
      <w:bookmarkEnd w:id="4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IV – descontos facultativos averbados em folha de pagamento sob os critérios previstos em lei anterior com prazo determinado. (Incluído pela Lei Complementar n. 701, de 5/03/2013)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</w:p>
    <w:p>
      <w:pPr>
        <w:pStyle w:val="bizHeading4"/>
      </w:pPr>
      <w:bookmarkStart w:id="44" w:name="_Toc256000039"/>
      <w:r>
        <w:drawing>
          <wp:inline>
            <wp:extent cx="152421" cy="152421"/>
            <wp:docPr id="160255754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73780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Inciso V, § 3°, Art. 7º.</w:t>
      </w:r>
      <w:bookmarkEnd w:id="4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III – amortização e juros de dívidas pessoais contraídas mediante contrato formal de empréstimo consignado junto às instituições financeiras e cooperativas de crédito; e (Incluído pela Lei Complementar n. 701, de 5/03/2013) </w:t>
      </w:r>
    </w:p>
    <w:p>
      <w:pPr>
        <w:pStyle w:val="bizHeading4"/>
      </w:pPr>
      <w:bookmarkStart w:id="45" w:name="_Toc256000040"/>
      <w:r>
        <w:drawing>
          <wp:inline>
            <wp:extent cx="152421" cy="152421"/>
            <wp:docPr id="201322205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74803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Inciso IV, § 3°, Art. 7º.</w:t>
      </w:r>
      <w:bookmarkEnd w:id="4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IV – descontos facultativos averbados em folha de pagamento sob os critérios previstos em lei anterior com prazo determinado. (Incluído pela Lei Complementar n. 701, de 5/03/2013)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</w:p>
    <w:p>
      <w:pPr>
        <w:pStyle w:val="bizHeading4"/>
      </w:pPr>
      <w:bookmarkStart w:id="46" w:name="_Toc256000041"/>
      <w:r>
        <w:drawing>
          <wp:inline>
            <wp:extent cx="152421" cy="152421"/>
            <wp:docPr id="89582315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0131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Inciso III, § 3°, Art. 7º.</w:t>
      </w:r>
      <w:bookmarkEnd w:id="4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III – amortização e juros de dívidas pessoais contraídas mediante contrato formal de empréstimo consignado junto às instituições financeiras e cooperativas de crédito; e (Incluído pela Lei Complementar n. 701, de 5/03/2013) </w:t>
      </w:r>
    </w:p>
    <w:p>
      <w:pPr>
        <w:pStyle w:val="bizHeading4"/>
      </w:pPr>
      <w:bookmarkStart w:id="47" w:name="_Toc256000042"/>
      <w:r>
        <w:drawing>
          <wp:inline>
            <wp:extent cx="152421" cy="152421"/>
            <wp:docPr id="19774100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1251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Inciso II, § 3°, Art. 7º.</w:t>
      </w:r>
      <w:bookmarkEnd w:id="47"/>
      <w:r>
        <w:t xml:space="preserve"> 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II – mensalidade instituída para custeio de operadora de plano privado de saúde, em favor do consignado e seus beneficiários; (Incluído pela Lei Complementar n. 701, de 5/03/2013) </w:t>
      </w:r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Humanst521 BT">
    <w:altName w:val="Tahoma"/>
    <w:panose1 w:val="00000000000000000000"/>
    <w:charset w:val="00"/>
    <w:family w:val="swiss"/>
    <w:pitch w:val="variable"/>
    <w:sig w:usb0="00000007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AE3ACF">
    <w:pPr>
      <w:pStyle w:val="Footer"/>
    </w:pPr>
    <w:r>
      <w:tab/>
    </w:r>
    <w:r>
      <w:fldChar w:fldCharType="begin"/>
    </w:r>
    <w:r>
      <w:instrText xml:space="preserve"> DATE   </w:instrText>
    </w:r>
    <w:r>
      <w:instrText>\@</w:instrText>
    </w:r>
    <w:r>
      <w:instrText xml:space="preserve"> </w:instrText>
    </w:r>
    <w:r>
      <w:instrText>dd/MM/yyyy</w:instrText>
    </w:r>
    <w:r>
      <w:instrText xml:space="preserve"> </w:instrText>
    </w:r>
    <w:r>
      <w:instrText>\*</w:instrText>
    </w:r>
    <w:r>
      <w:instrText xml:space="preserve"> </w:instrText>
    </w:r>
    <w:r>
      <w:instrText>MERGEFORMAT</w:instrText>
    </w:r>
    <w:r>
      <w:instrText xml:space="preserve"> </w:instrText>
    </w:r>
    <w:r>
      <w:fldChar w:fldCharType="separate"/>
    </w:r>
    <w:r w:rsidR="002D61C1">
      <w:rPr>
        <w:noProof/>
      </w:rPr>
      <w:t>26/01/2023</w:t>
    </w:r>
    <w:r>
      <w:fldChar w:fldCharType="end"/>
    </w:r>
    <w:r>
      <w:tab/>
    </w:r>
    <w:r w:rsidR="001572C1">
      <w:rPr>
        <w:rStyle w:val="PageNumber"/>
      </w:rPr>
      <w:fldChar w:fldCharType="begin"/>
    </w:r>
    <w:r w:rsidR="001572C1">
      <w:rPr>
        <w:rStyle w:val="PageNumber"/>
      </w:rPr>
      <w:instrText xml:space="preserve"> PAGE </w:instrText>
    </w:r>
    <w:r w:rsidR="001572C1">
      <w:rPr>
        <w:rStyle w:val="PageNumber"/>
      </w:rPr>
      <w:fldChar w:fldCharType="separate"/>
    </w:r>
    <w:r w:rsidR="001572C1">
      <w:rPr>
        <w:rStyle w:val="PageNumber"/>
      </w:rPr>
      <w:t>31</w:t>
    </w:r>
    <w:r w:rsidR="001572C1">
      <w:rPr>
        <w:rStyle w:val="PageNumber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 w:rsidRPr="00B603BE">
      <w:rPr>
        <w:rFonts w:ascii="Tahoma" w:hAnsi="Tahoma" w:cs="Tahoma"/>
        <w:b/>
        <w:color w:val="C0C0C0"/>
        <w:spacing w:val="140"/>
        <w:sz w:val="22"/>
        <w:szCs w:val="2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0204B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1CF02BF"/>
    <w:multiLevelType w:val="hybridMultilevel"/>
    <w:tmpl w:val="906C1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C3410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04D76C24"/>
    <w:multiLevelType w:val="hybridMultilevel"/>
    <w:tmpl w:val="C67403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>
      <w:start w:val="1"/>
      <w:numFmt w:val="lowerLetter"/>
      <w:lvlText w:val="%3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  <w:color w:val="auto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07F97F05"/>
    <w:multiLevelType w:val="hybridMultilevel"/>
    <w:tmpl w:val="C944C52E"/>
    <w:lvl w:ilvl="0">
      <w:start w:val="1"/>
      <w:numFmt w:val="lowerLetter"/>
      <w:lvlText w:val="%1."/>
      <w:lvlJc w:val="left"/>
      <w:pPr>
        <w:tabs>
          <w:tab w:val="num" w:pos="3060"/>
        </w:tabs>
        <w:ind w:left="3060" w:hanging="360"/>
      </w:pPr>
    </w:lvl>
    <w:lvl w:ilvl="1">
      <w:start w:val="7"/>
      <w:numFmt w:val="decimal"/>
      <w:lvlText w:val="%2.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0A13321D"/>
    <w:multiLevelType w:val="multilevel"/>
    <w:tmpl w:val="4B80F1B4"/>
    <w:lvl w:ilvl="0">
      <w:start w:val="1"/>
      <w:numFmt w:val="decimal"/>
      <w:pStyle w:val="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6">
    <w:nsid w:val="155B6D8B"/>
    <w:multiLevelType w:val="hybridMultilevel"/>
    <w:tmpl w:val="941C6E7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200F1019"/>
    <w:multiLevelType w:val="multilevel"/>
    <w:tmpl w:val="C60AF0EA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9DE55A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C6D106A"/>
    <w:multiLevelType w:val="hybridMultilevel"/>
    <w:tmpl w:val="93602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ED462D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2EC8694B"/>
    <w:multiLevelType w:val="multilevel"/>
    <w:tmpl w:val="B65EAA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43B06977"/>
    <w:multiLevelType w:val="multilevel"/>
    <w:tmpl w:val="05B66266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4ABD67D4"/>
    <w:multiLevelType w:val="hybridMultilevel"/>
    <w:tmpl w:val="3404D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0620D54"/>
    <w:multiLevelType w:val="hybridMultilevel"/>
    <w:tmpl w:val="14DEF298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15A21B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3BF00B8"/>
    <w:multiLevelType w:val="hybridMultilevel"/>
    <w:tmpl w:val="078A7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17">
    <w:nsid w:val="56F82B40"/>
    <w:multiLevelType w:val="hybridMultilevel"/>
    <w:tmpl w:val="F4CE168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D0B4653"/>
    <w:multiLevelType w:val="multilevel"/>
    <w:tmpl w:val="BE369C94"/>
    <w:lvl w:ilvl="0">
      <w:start w:val="1"/>
      <w:numFmt w:val="none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D734B9E"/>
    <w:multiLevelType w:val="hybridMultilevel"/>
    <w:tmpl w:val="EB9A085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0">
    <w:nsid w:val="5FB85FC1"/>
    <w:multiLevelType w:val="hybridMultilevel"/>
    <w:tmpl w:val="D430B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9C7C3A"/>
    <w:multiLevelType w:val="hybridMultilevel"/>
    <w:tmpl w:val="49EA177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9604AF8"/>
    <w:multiLevelType w:val="hybridMultilevel"/>
    <w:tmpl w:val="46F23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A0E58DD"/>
    <w:multiLevelType w:val="hybridMultilevel"/>
    <w:tmpl w:val="FE74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D2C01"/>
    <w:multiLevelType w:val="multilevel"/>
    <w:tmpl w:val="F6DAA090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>
    <w:nsid w:val="720458A5"/>
    <w:multiLevelType w:val="multilevel"/>
    <w:tmpl w:val="D2F211A6"/>
    <w:lvl w:ilvl="0">
      <w:start w:val="1"/>
      <w:numFmt w:val="decimal"/>
      <w:lvlText w:val="PARTE %1 - 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008"/>
        </w:tabs>
        <w:ind w:left="1008" w:firstLine="0"/>
      </w:pPr>
      <w:rPr>
        <w:rFonts w:ascii="Symbol" w:hAnsi="Symbol"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2C24349"/>
    <w:multiLevelType w:val="hybridMultilevel"/>
    <w:tmpl w:val="3DBE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49C6144"/>
    <w:multiLevelType w:val="hybridMultilevel"/>
    <w:tmpl w:val="503C8282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6975671"/>
    <w:multiLevelType w:val="hybridMultilevel"/>
    <w:tmpl w:val="07BAB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9E547F"/>
    <w:multiLevelType w:val="hybridMultilevel"/>
    <w:tmpl w:val="C7EAF0B2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2">
    <w:nsid w:val="78076813"/>
    <w:multiLevelType w:val="multilevel"/>
    <w:tmpl w:val="F7D09B9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1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783861BA"/>
    <w:multiLevelType w:val="hybridMultilevel"/>
    <w:tmpl w:val="78AC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0C1712"/>
    <w:multiLevelType w:val="multilevel"/>
    <w:tmpl w:val="02C0E5D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7B4D7EFE"/>
    <w:multiLevelType w:val="hybridMultilevel"/>
    <w:tmpl w:val="48C6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5458C9"/>
    <w:multiLevelType w:val="multilevel"/>
    <w:tmpl w:val="5A38882A"/>
    <w:lvl w:ilvl="0">
      <w:start w:val="1"/>
      <w:numFmt w:val="decimal"/>
      <w:suff w:val="nothing"/>
      <w:lvlText w:val=" %1 -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008"/>
        </w:tabs>
        <w:ind w:left="648" w:hanging="14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368"/>
        </w:tabs>
        <w:ind w:left="108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9"/>
  </w:num>
  <w:num w:numId="2">
    <w:abstractNumId w:val="28"/>
  </w:num>
  <w:num w:numId="3">
    <w:abstractNumId w:val="23"/>
  </w:num>
  <w:num w:numId="4">
    <w:abstractNumId w:val="1"/>
  </w:num>
  <w:num w:numId="5">
    <w:abstractNumId w:val="16"/>
  </w:num>
  <w:num w:numId="6">
    <w:abstractNumId w:val="20"/>
  </w:num>
  <w:num w:numId="7">
    <w:abstractNumId w:val="22"/>
  </w:num>
  <w:num w:numId="8">
    <w:abstractNumId w:val="13"/>
  </w:num>
  <w:num w:numId="9">
    <w:abstractNumId w:val="3"/>
  </w:num>
  <w:num w:numId="10">
    <w:abstractNumId w:val="31"/>
  </w:num>
  <w:num w:numId="11">
    <w:abstractNumId w:val="9"/>
  </w:num>
  <w:num w:numId="12">
    <w:abstractNumId w:val="30"/>
  </w:num>
  <w:num w:numId="13">
    <w:abstractNumId w:val="6"/>
  </w:num>
  <w:num w:numId="14">
    <w:abstractNumId w:val="21"/>
  </w:num>
  <w:num w:numId="15">
    <w:abstractNumId w:val="4"/>
  </w:num>
  <w:num w:numId="16">
    <w:abstractNumId w:val="11"/>
  </w:num>
  <w:num w:numId="17">
    <w:abstractNumId w:val="17"/>
  </w:num>
  <w:num w:numId="18">
    <w:abstractNumId w:val="14"/>
  </w:num>
  <w:num w:numId="19">
    <w:abstractNumId w:val="29"/>
  </w:num>
  <w:num w:numId="20">
    <w:abstractNumId w:val="35"/>
  </w:num>
  <w:num w:numId="21">
    <w:abstractNumId w:val="33"/>
  </w:num>
  <w:num w:numId="22">
    <w:abstractNumId w:val="18"/>
  </w:num>
  <w:num w:numId="23">
    <w:abstractNumId w:val="32"/>
  </w:num>
  <w:num w:numId="24">
    <w:abstractNumId w:val="26"/>
  </w:num>
  <w:num w:numId="25">
    <w:abstractNumId w:val="7"/>
  </w:num>
  <w:num w:numId="26">
    <w:abstractNumId w:val="12"/>
  </w:num>
  <w:num w:numId="27">
    <w:abstractNumId w:val="2"/>
  </w:num>
  <w:num w:numId="28">
    <w:abstractNumId w:val="10"/>
  </w:num>
  <w:num w:numId="29">
    <w:abstractNumId w:val="34"/>
  </w:num>
  <w:num w:numId="30">
    <w:abstractNumId w:val="18"/>
  </w:num>
  <w:num w:numId="31">
    <w:abstractNumId w:val="18"/>
  </w:num>
  <w:num w:numId="32">
    <w:abstractNumId w:val="18"/>
  </w:num>
  <w:num w:numId="33">
    <w:abstractNumId w:val="5"/>
  </w:num>
  <w:num w:numId="34">
    <w:abstractNumId w:val="8"/>
  </w:num>
  <w:num w:numId="35">
    <w:abstractNumId w:val="5"/>
  </w:num>
  <w:num w:numId="36">
    <w:abstractNumId w:val="5"/>
  </w:num>
  <w:num w:numId="37">
    <w:abstractNumId w:val="24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27"/>
  </w:num>
  <w:num w:numId="43">
    <w:abstractNumId w:val="15"/>
  </w:num>
  <w:num w:numId="44">
    <w:abstractNumId w:val="5"/>
  </w:num>
  <w:num w:numId="45">
    <w:abstractNumId w:val="36"/>
  </w:num>
  <w:num w:numId="46">
    <w:abstractNumId w:val="25"/>
  </w:num>
  <w:num w:numId="4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1C1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5BD9"/>
    <w:rsid w:val="0003100E"/>
    <w:rsid w:val="000400C4"/>
    <w:rsid w:val="00045378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3713"/>
    <w:rsid w:val="000F5064"/>
    <w:rsid w:val="000F5CBC"/>
    <w:rsid w:val="00100479"/>
    <w:rsid w:val="00105188"/>
    <w:rsid w:val="00105811"/>
    <w:rsid w:val="00115201"/>
    <w:rsid w:val="0011555F"/>
    <w:rsid w:val="001244D0"/>
    <w:rsid w:val="001320EC"/>
    <w:rsid w:val="00133DB2"/>
    <w:rsid w:val="00133EAB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3048"/>
    <w:rsid w:val="001C22BE"/>
    <w:rsid w:val="001C251F"/>
    <w:rsid w:val="001D77FC"/>
    <w:rsid w:val="001E527D"/>
    <w:rsid w:val="001F043C"/>
    <w:rsid w:val="001F3B82"/>
    <w:rsid w:val="001F5161"/>
    <w:rsid w:val="001F5727"/>
    <w:rsid w:val="00203170"/>
    <w:rsid w:val="0021548A"/>
    <w:rsid w:val="00216656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945BF"/>
    <w:rsid w:val="002A1FD5"/>
    <w:rsid w:val="002B3EFE"/>
    <w:rsid w:val="002B65BB"/>
    <w:rsid w:val="002B7464"/>
    <w:rsid w:val="002B7F64"/>
    <w:rsid w:val="002C4B5D"/>
    <w:rsid w:val="002C6201"/>
    <w:rsid w:val="002D20E4"/>
    <w:rsid w:val="002D6001"/>
    <w:rsid w:val="002D61C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5DA2"/>
    <w:rsid w:val="00353FC8"/>
    <w:rsid w:val="00362E19"/>
    <w:rsid w:val="0036453B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C1C42"/>
    <w:rsid w:val="003C45DE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14DCE"/>
    <w:rsid w:val="00422C9A"/>
    <w:rsid w:val="004255C7"/>
    <w:rsid w:val="00425E09"/>
    <w:rsid w:val="00430B6F"/>
    <w:rsid w:val="0043331B"/>
    <w:rsid w:val="00440553"/>
    <w:rsid w:val="00443780"/>
    <w:rsid w:val="00447241"/>
    <w:rsid w:val="004478F1"/>
    <w:rsid w:val="00447FB2"/>
    <w:rsid w:val="00450B29"/>
    <w:rsid w:val="00450C9F"/>
    <w:rsid w:val="00451BB4"/>
    <w:rsid w:val="00456DF1"/>
    <w:rsid w:val="00463FAD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B4C"/>
    <w:rsid w:val="004C2A9C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91299"/>
    <w:rsid w:val="00591489"/>
    <w:rsid w:val="005A0321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78FA"/>
    <w:rsid w:val="0066431A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B0908"/>
    <w:rsid w:val="006C2187"/>
    <w:rsid w:val="006C5BC9"/>
    <w:rsid w:val="006E0689"/>
    <w:rsid w:val="006E2B36"/>
    <w:rsid w:val="006F44CE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A2CFF"/>
    <w:rsid w:val="007B3313"/>
    <w:rsid w:val="007B663B"/>
    <w:rsid w:val="007C4D01"/>
    <w:rsid w:val="007C5A5C"/>
    <w:rsid w:val="007D4C61"/>
    <w:rsid w:val="007D63D4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3316"/>
    <w:rsid w:val="00846E73"/>
    <w:rsid w:val="00854218"/>
    <w:rsid w:val="008606E1"/>
    <w:rsid w:val="0086088C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95FDF"/>
    <w:rsid w:val="009A4204"/>
    <w:rsid w:val="009A6F62"/>
    <w:rsid w:val="009B7DFE"/>
    <w:rsid w:val="009C06B5"/>
    <w:rsid w:val="009C2C93"/>
    <w:rsid w:val="009C72BB"/>
    <w:rsid w:val="009F1800"/>
    <w:rsid w:val="009F5920"/>
    <w:rsid w:val="009F7A0D"/>
    <w:rsid w:val="00A07FA6"/>
    <w:rsid w:val="00A13634"/>
    <w:rsid w:val="00A179CB"/>
    <w:rsid w:val="00A2192D"/>
    <w:rsid w:val="00A221E1"/>
    <w:rsid w:val="00A262B2"/>
    <w:rsid w:val="00A363ED"/>
    <w:rsid w:val="00A40C1F"/>
    <w:rsid w:val="00A47B9C"/>
    <w:rsid w:val="00A50CAC"/>
    <w:rsid w:val="00A52BFA"/>
    <w:rsid w:val="00A55D18"/>
    <w:rsid w:val="00A61739"/>
    <w:rsid w:val="00A65310"/>
    <w:rsid w:val="00A66741"/>
    <w:rsid w:val="00A6763D"/>
    <w:rsid w:val="00A74F07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A3B32"/>
    <w:rsid w:val="00BC2FC0"/>
    <w:rsid w:val="00BC3029"/>
    <w:rsid w:val="00BC532D"/>
    <w:rsid w:val="00BD71BF"/>
    <w:rsid w:val="00BE42AC"/>
    <w:rsid w:val="00BE7281"/>
    <w:rsid w:val="00BF1BBD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60046"/>
    <w:rsid w:val="00C624DC"/>
    <w:rsid w:val="00C63FE5"/>
    <w:rsid w:val="00C642B2"/>
    <w:rsid w:val="00C7009A"/>
    <w:rsid w:val="00C71E9B"/>
    <w:rsid w:val="00C71EF7"/>
    <w:rsid w:val="00C72EA3"/>
    <w:rsid w:val="00C83A4B"/>
    <w:rsid w:val="00C83CDD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E7D6F"/>
    <w:rsid w:val="00CF068B"/>
    <w:rsid w:val="00CF394B"/>
    <w:rsid w:val="00CF449C"/>
    <w:rsid w:val="00CF6D90"/>
    <w:rsid w:val="00D00E81"/>
    <w:rsid w:val="00D03D21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7C6"/>
    <w:rsid w:val="00D33BAA"/>
    <w:rsid w:val="00D37268"/>
    <w:rsid w:val="00D37C8C"/>
    <w:rsid w:val="00D4476F"/>
    <w:rsid w:val="00D55F51"/>
    <w:rsid w:val="00D6529A"/>
    <w:rsid w:val="00D65A66"/>
    <w:rsid w:val="00D95D67"/>
    <w:rsid w:val="00DA3C7A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E00DE0"/>
    <w:rsid w:val="00E07B66"/>
    <w:rsid w:val="00E23E4D"/>
    <w:rsid w:val="00E25804"/>
    <w:rsid w:val="00E266FC"/>
    <w:rsid w:val="00E30D39"/>
    <w:rsid w:val="00E3338A"/>
    <w:rsid w:val="00E366F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2ABC"/>
    <w:rsid w:val="00F03869"/>
    <w:rsid w:val="00F05139"/>
    <w:rsid w:val="00F05C3B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7B7"/>
    <w:rsid w:val="00F94FFC"/>
    <w:rsid w:val="00FA249B"/>
    <w:rsid w:val="00FB7EAB"/>
    <w:rsid w:val="00FC763C"/>
    <w:rsid w:val="00FD0416"/>
    <w:rsid w:val="00FD2EB6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133EAB"/>
    <w:pPr>
      <w:spacing w:before="120"/>
    </w:pPr>
    <w:rPr>
      <w:rFonts w:ascii="Verdana" w:hAnsi="Verdana"/>
      <w:lang w:val="en-US" w:eastAsia="es-ES" w:bidi="ar-SA"/>
    </w:rPr>
  </w:style>
  <w:style w:type="paragraph" w:styleId="Heading1">
    <w:name w:val="heading 1"/>
    <w:aliases w:val="ModelerHeading1"/>
    <w:basedOn w:val="Normal"/>
    <w:next w:val="Normal"/>
    <w:link w:val="Heading1Char"/>
    <w:autoRedefine/>
    <w:qFormat/>
    <w:rsid w:val="00216656"/>
    <w:pPr>
      <w:keepNext/>
      <w:pageBreakBefore/>
      <w:numPr>
        <w:ilvl w:val="0"/>
        <w:numId w:val="44"/>
      </w:numPr>
      <w:spacing w:before="0" w:after="60"/>
      <w:jc w:val="left"/>
      <w:outlineLvl w:val="0"/>
    </w:pPr>
    <w:rPr>
      <w:rFonts w:ascii="Segoe UI Semilight" w:hAnsi="Segoe UI Semilight"/>
      <w:iCs/>
      <w:caps/>
      <w:shadow/>
      <w:spacing w:val="50"/>
      <w:kern w:val="28"/>
      <w:sz w:val="40"/>
    </w:rPr>
  </w:style>
  <w:style w:type="paragraph" w:styleId="Heading2">
    <w:name w:val="heading 2"/>
    <w:basedOn w:val="Normal"/>
    <w:next w:val="Normal"/>
    <w:autoRedefine/>
    <w:qFormat/>
    <w:rsid w:val="00216656"/>
    <w:pPr>
      <w:keepNext/>
      <w:numPr>
        <w:ilvl w:val="1"/>
        <w:numId w:val="44"/>
      </w:numPr>
      <w:spacing w:before="240" w:after="100" w:afterAutospacing="1"/>
      <w:outlineLvl w:val="1"/>
    </w:pPr>
    <w:rPr>
      <w:rFonts w:ascii="Segoe UI Semilight" w:hAnsi="Segoe UI Semilight"/>
      <w:b/>
      <w:caps/>
      <w:spacing w:val="98"/>
      <w:sz w:val="28"/>
      <w:szCs w:val="28"/>
      <w:lang w:val="es-ES_tradnl"/>
    </w:rPr>
  </w:style>
  <w:style w:type="paragraph" w:styleId="Heading3">
    <w:name w:val="heading 3"/>
    <w:basedOn w:val="Normal"/>
    <w:next w:val="Normal"/>
    <w:autoRedefine/>
    <w:qFormat/>
    <w:rsid w:val="00216656"/>
    <w:pPr>
      <w:keepNext/>
      <w:numPr>
        <w:ilvl w:val="2"/>
        <w:numId w:val="44"/>
      </w:numPr>
      <w:pBdr>
        <w:top w:val="single" w:sz="4" w:space="1" w:color="auto"/>
      </w:pBdr>
      <w:spacing w:before="240" w:after="60"/>
      <w:outlineLvl w:val="2"/>
    </w:pPr>
    <w:rPr>
      <w:rFonts w:ascii="Segoe UI Semilight" w:hAnsi="Segoe UI Semilight"/>
      <w:b/>
      <w:caps/>
      <w:sz w:val="24"/>
      <w:szCs w:val="24"/>
    </w:rPr>
  </w:style>
  <w:style w:type="paragraph" w:styleId="Heading4">
    <w:name w:val="heading 4"/>
    <w:basedOn w:val="Normal"/>
    <w:next w:val="Normal4"/>
    <w:qFormat/>
    <w:rsid w:val="00216656"/>
    <w:pPr>
      <w:keepNext/>
      <w:numPr>
        <w:ilvl w:val="3"/>
        <w:numId w:val="44"/>
      </w:numPr>
      <w:spacing w:after="60"/>
      <w:outlineLvl w:val="3"/>
    </w:pPr>
    <w:rPr>
      <w:rFonts w:ascii="Segoe UI Semilight" w:hAnsi="Segoe UI Semilight"/>
      <w:b/>
      <w:bCs/>
    </w:rPr>
  </w:style>
  <w:style w:type="paragraph" w:styleId="Heading5">
    <w:name w:val="heading 5"/>
    <w:basedOn w:val="Normal"/>
    <w:next w:val="Normal5"/>
    <w:autoRedefine/>
    <w:qFormat/>
    <w:rsid w:val="00216656"/>
    <w:pPr>
      <w:numPr>
        <w:ilvl w:val="4"/>
        <w:numId w:val="44"/>
      </w:numPr>
      <w:outlineLvl w:val="4"/>
    </w:pPr>
    <w:rPr>
      <w:rFonts w:ascii="Segoe UI Semilight" w:hAnsi="Segoe UI Semilight"/>
      <w:b/>
      <w:bCs/>
      <w:iCs/>
    </w:rPr>
  </w:style>
  <w:style w:type="paragraph" w:styleId="Heading6">
    <w:name w:val="heading 6"/>
    <w:basedOn w:val="Normal"/>
    <w:next w:val="Normal"/>
    <w:autoRedefine/>
    <w:qFormat/>
    <w:rsid w:val="00216656"/>
    <w:pPr>
      <w:numPr>
        <w:ilvl w:val="5"/>
        <w:numId w:val="44"/>
      </w:numPr>
      <w:spacing w:before="240" w:after="60"/>
      <w:outlineLvl w:val="5"/>
    </w:pPr>
    <w:rPr>
      <w:rFonts w:ascii="Segoe UI Semilight" w:hAnsi="Segoe UI Semilight"/>
      <w:bCs/>
    </w:rPr>
  </w:style>
  <w:style w:type="paragraph" w:styleId="Heading7">
    <w:name w:val="heading 7"/>
    <w:basedOn w:val="Normal"/>
    <w:next w:val="Normal"/>
    <w:qFormat/>
    <w:rsid w:val="00216656"/>
    <w:pPr>
      <w:numPr>
        <w:ilvl w:val="6"/>
        <w:numId w:val="44"/>
      </w:numPr>
      <w:spacing w:before="240" w:after="60"/>
      <w:outlineLvl w:val="6"/>
    </w:pPr>
    <w:rPr>
      <w:rFonts w:ascii="Segoe UI Semilight" w:hAnsi="Segoe UI Semilight"/>
      <w:sz w:val="24"/>
      <w:szCs w:val="24"/>
    </w:rPr>
  </w:style>
  <w:style w:type="paragraph" w:styleId="Heading8">
    <w:name w:val="heading 8"/>
    <w:basedOn w:val="Normal"/>
    <w:next w:val="Normal"/>
    <w:qFormat/>
    <w:rsid w:val="00216656"/>
    <w:pPr>
      <w:numPr>
        <w:ilvl w:val="7"/>
        <w:numId w:val="44"/>
      </w:numPr>
      <w:spacing w:before="240" w:after="60"/>
      <w:outlineLvl w:val="7"/>
    </w:pPr>
    <w:rPr>
      <w:rFonts w:ascii="Segoe UI Semilight" w:hAnsi="Segoe UI Semilight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216656"/>
    <w:pPr>
      <w:numPr>
        <w:ilvl w:val="8"/>
        <w:numId w:val="44"/>
      </w:numPr>
      <w:spacing w:before="240" w:after="60"/>
      <w:outlineLvl w:val="8"/>
    </w:pPr>
    <w:rPr>
      <w:rFonts w:ascii="Segoe UI Semilight" w:hAnsi="Segoe UI Semilight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aliases w:val="ModelerHeading1 Char"/>
    <w:link w:val="Heading1"/>
    <w:rsid w:val="00216656"/>
    <w:rPr>
      <w:rFonts w:ascii="Segoe UI Semilight" w:hAnsi="Segoe UI Semilight"/>
      <w:iCs/>
      <w:caps/>
      <w:shadow/>
      <w:spacing w:val="50"/>
      <w:kern w:val="28"/>
      <w:sz w:val="40"/>
      <w:lang w:val="en-US" w:eastAsia="es-ES"/>
    </w:rPr>
  </w:style>
  <w:style w:type="paragraph" w:styleId="TOC1">
    <w:name w:val="toc 1"/>
    <w:basedOn w:val="Normal"/>
    <w:next w:val="Normal"/>
    <w:autoRedefine/>
    <w:semiHidden/>
    <w:rsid w:val="00C43BBD"/>
    <w:pPr>
      <w:jc w:val="left"/>
    </w:pPr>
    <w:rPr>
      <w:caps/>
      <w:lang w:val="es-ES_tradnl"/>
    </w:rPr>
  </w:style>
  <w:style w:type="paragraph" w:styleId="TOC2">
    <w:name w:val="toc 2"/>
    <w:basedOn w:val="Normal"/>
    <w:next w:val="Normal"/>
    <w:autoRedefine/>
    <w:semiHidden/>
    <w:rsid w:val="00C43BBD"/>
    <w:pPr>
      <w:tabs>
        <w:tab w:val="right" w:leader="dot" w:pos="8828"/>
      </w:tabs>
      <w:spacing w:before="0"/>
      <w:ind w:left="198"/>
    </w:pPr>
    <w:rPr>
      <w:smallCaps/>
    </w:rPr>
  </w:style>
  <w:style w:type="paragraph" w:styleId="TOC3">
    <w:name w:val="toc 3"/>
    <w:basedOn w:val="Normal"/>
    <w:next w:val="Normal"/>
    <w:autoRedefine/>
    <w:semiHidden/>
    <w:rsid w:val="00A55D18"/>
    <w:pPr>
      <w:tabs>
        <w:tab w:val="right" w:leader="dot" w:pos="8828"/>
      </w:tabs>
      <w:spacing w:before="0"/>
      <w:ind w:left="403"/>
    </w:pPr>
    <w:rPr>
      <w:noProof/>
      <w:color w:val="000000"/>
      <w:lang w:val="es-ES"/>
    </w:rPr>
  </w:style>
  <w:style w:type="character" w:styleId="Hyperlink">
    <w:name w:val="Hyperlink"/>
    <w:rsid w:val="00A55D18"/>
    <w:rPr>
      <w:color w:val="0000FF"/>
      <w:u w:val="single"/>
    </w:rPr>
  </w:style>
  <w:style w:type="paragraph" w:styleId="Header">
    <w:name w:val="header"/>
    <w:basedOn w:val="Normal"/>
    <w:rsid w:val="00A55D18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rsid w:val="00A55D18"/>
    <w:pPr>
      <w:tabs>
        <w:tab w:val="center" w:pos="4419"/>
        <w:tab w:val="right" w:pos="8838"/>
      </w:tabs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rsid w:val="00A55D18"/>
    <w:rPr>
      <w:rFonts w:ascii="Humanst521 BT" w:hAnsi="Humanst521 BT"/>
      <w:iCs/>
      <w:caps/>
      <w:shadow/>
      <w:color w:val="333333"/>
      <w:spacing w:val="50"/>
      <w:kern w:val="28"/>
      <w:sz w:val="40"/>
      <w:lang w:val="es-CO" w:eastAsia="es-ES" w:bidi="ar-SA"/>
    </w:rPr>
  </w:style>
  <w:style w:type="paragraph" w:styleId="BodyText">
    <w:name w:val="Body Text"/>
    <w:basedOn w:val="Normal"/>
    <w:link w:val="BodyTextChar"/>
    <w:rsid w:val="004255C7"/>
    <w:pPr>
      <w:spacing w:before="0"/>
    </w:pPr>
    <w:rPr>
      <w:bCs/>
    </w:rPr>
  </w:style>
  <w:style w:type="table" w:styleId="TableGrid">
    <w:name w:val="Table Grid"/>
    <w:basedOn w:val="TableNormal"/>
    <w:semiHidden/>
    <w:rsid w:val="004255C7"/>
    <w:pPr>
      <w:spacing w:before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pPr>
      <w:pageBreakBefore w:val="0"/>
    </w:pPr>
    <w:rPr>
      <w:b/>
      <w:bCs/>
      <w:iCs w:val="0"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5A0321"/>
    <w:pPr>
      <w:numPr>
        <w:ilvl w:val="0"/>
        <w:numId w:val="0"/>
      </w:numPr>
    </w:pPr>
    <w:rPr>
      <w:color w:val="0081C6"/>
    </w:rPr>
  </w:style>
  <w:style w:type="numbering" w:customStyle="1" w:styleId="Lista">
    <w:name w:val="Lista"/>
    <w:basedOn w:val="NoList"/>
    <w:rsid w:val="007741DF"/>
    <w:pPr>
      <w:numPr>
        <w:numId w:val="37"/>
      </w:numPr>
    </w:pPr>
  </w:style>
  <w:style w:type="paragraph" w:customStyle="1" w:styleId="Normal4">
    <w:name w:val="Normal4"/>
    <w:basedOn w:val="Normal"/>
    <w:rsid w:val="00216656"/>
    <w:pPr>
      <w:ind w:left="504"/>
    </w:pPr>
    <w:rPr>
      <w:rFonts w:ascii="Segoe UI Semilight" w:hAnsi="Segoe UI Semilight"/>
      <w:lang w:val="es-ES_tradnl"/>
    </w:rPr>
  </w:style>
  <w:style w:type="paragraph" w:styleId="TOC5">
    <w:name w:val="toc 5"/>
    <w:basedOn w:val="Normal"/>
    <w:next w:val="Normal"/>
    <w:autoRedefine/>
    <w:semiHidden/>
    <w:rsid w:val="00854218"/>
    <w:pPr>
      <w:ind w:left="800"/>
    </w:p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Normal"/>
    <w:rsid w:val="00216656"/>
    <w:rPr>
      <w:rFonts w:ascii="Segoe UI Semilight" w:hAnsi="Segoe UI Semilight"/>
    </w:rPr>
  </w:style>
  <w:style w:type="paragraph" w:customStyle="1" w:styleId="bizHeading1">
    <w:name w:val="bizHeading1"/>
    <w:basedOn w:val="Heading1"/>
    <w:next w:val="Normal"/>
    <w:rsid w:val="005A0321"/>
    <w:rPr>
      <w:color w:val="0081C6"/>
      <w:sz w:val="32"/>
    </w:rPr>
  </w:style>
  <w:style w:type="paragraph" w:customStyle="1" w:styleId="bizHeading2">
    <w:name w:val="bizHeading2"/>
    <w:basedOn w:val="Heading2"/>
    <w:next w:val="Normal"/>
    <w:rsid w:val="00C83CDD"/>
    <w:rPr>
      <w:color w:val="0081C6"/>
      <w:lang w:val="en-US"/>
    </w:rPr>
  </w:style>
  <w:style w:type="paragraph" w:customStyle="1" w:styleId="bizHeading3">
    <w:name w:val="bizHeading3"/>
    <w:basedOn w:val="Heading3"/>
    <w:next w:val="Normal"/>
    <w:rsid w:val="005A0321"/>
    <w:rPr>
      <w:color w:val="0081C6"/>
    </w:rPr>
  </w:style>
  <w:style w:type="paragraph" w:customStyle="1" w:styleId="bizHeading4">
    <w:name w:val="bizHeading4"/>
    <w:basedOn w:val="Heading4"/>
    <w:next w:val="Normal4"/>
    <w:rsid w:val="005A0321"/>
    <w:rPr>
      <w:color w:val="0081C6"/>
    </w:rPr>
  </w:style>
  <w:style w:type="paragraph" w:customStyle="1" w:styleId="bizHeading5">
    <w:name w:val="bizHeading5"/>
    <w:basedOn w:val="Heading5"/>
    <w:next w:val="Normal5"/>
    <w:rsid w:val="005A0321"/>
    <w:rPr>
      <w:color w:val="0081C6"/>
    </w:rPr>
  </w:style>
  <w:style w:type="paragraph" w:styleId="BalloonText">
    <w:name w:val="Balloon Text"/>
    <w:basedOn w:val="Normal"/>
    <w:link w:val="BalloonTextChar"/>
    <w:rsid w:val="008C2CEA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C2CEA"/>
    <w:rPr>
      <w:rFonts w:ascii="Tahoma" w:hAnsi="Tahoma" w:cs="Tahoma"/>
      <w:sz w:val="16"/>
      <w:szCs w:val="16"/>
      <w:lang w:val="es-CO" w:eastAsia="es-ES"/>
    </w:rPr>
  </w:style>
  <w:style w:type="paragraph" w:customStyle="1" w:styleId="ModelerNormal">
    <w:name w:val="ModelerNormal"/>
    <w:basedOn w:val="Normal"/>
    <w:qFormat/>
    <w:rsid w:val="00216656"/>
    <w:rPr>
      <w:rFonts w:ascii="Segoe UI Semilight" w:hAnsi="Segoe UI Semilight"/>
    </w:rPr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 w:val="0"/>
      <w:sz w:val="20"/>
    </w:rPr>
  </w:style>
  <w:style w:type="paragraph" w:customStyle="1" w:styleId="bizHeadingBAS2">
    <w:name w:val="bizHeadingBAS2"/>
    <w:basedOn w:val="bizHeading2"/>
    <w:next w:val="Normal"/>
    <w:rsid w:val="00216656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216656"/>
    <w:pPr>
      <w:numPr>
        <w:ilvl w:val="0"/>
        <w:numId w:val="46"/>
      </w:numPr>
    </w:pPr>
    <w:rPr>
      <w:rFonts w:ascii="Segoe UI Semilight" w:hAnsi="Segoe UI Semilight"/>
    </w:rPr>
  </w:style>
  <w:style w:type="paragraph" w:customStyle="1" w:styleId="bizTitle">
    <w:name w:val="bizTitle"/>
    <w:basedOn w:val="Title"/>
    <w:next w:val="Title"/>
    <w:link w:val="bizTitleChar"/>
    <w:qFormat/>
    <w:rsid w:val="005A0321"/>
    <w:pPr>
      <w:jc w:val="right"/>
    </w:pPr>
    <w:rPr>
      <w:rFonts w:ascii="Segoe UI" w:hAnsi="Segoe UI"/>
      <w:color w:val="0081C6"/>
      <w:sz w:val="48"/>
    </w:rPr>
  </w:style>
  <w:style w:type="paragraph" w:customStyle="1" w:styleId="bizSubtitle">
    <w:name w:val="bizSubtitle"/>
    <w:basedOn w:val="Subtitle"/>
    <w:next w:val="Subtitle"/>
    <w:link w:val="bizSubtitleChar"/>
    <w:qFormat/>
    <w:rsid w:val="005A0321"/>
    <w:pPr>
      <w:jc w:val="right"/>
    </w:pPr>
    <w:rPr>
      <w:rFonts w:ascii="Segoe UI Semilight" w:hAnsi="Segoe UI Semilight"/>
      <w:color w:val="0081C6"/>
      <w:sz w:val="32"/>
    </w:rPr>
  </w:style>
  <w:style w:type="character" w:customStyle="1" w:styleId="BodyTextChar">
    <w:name w:val="Body Text Char"/>
    <w:link w:val="BodyText"/>
    <w:rsid w:val="004F1444"/>
    <w:rPr>
      <w:rFonts w:ascii="Verdana" w:hAnsi="Verdana"/>
      <w:bCs/>
      <w:lang w:eastAsia="es-ES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paragraph" w:styleId="Title">
    <w:name w:val="Title"/>
    <w:basedOn w:val="Normal"/>
    <w:next w:val="Normal"/>
    <w:link w:val="TitleChar"/>
    <w:qFormat/>
    <w:rsid w:val="00216656"/>
    <w:pPr>
      <w:spacing w:before="240" w:after="60"/>
      <w:jc w:val="center"/>
      <w:outlineLvl w:val="0"/>
    </w:pPr>
    <w:rPr>
      <w:rFonts w:ascii="Segoe UI Semilight" w:hAnsi="Segoe UI Semilight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216656"/>
    <w:rPr>
      <w:rFonts w:ascii="Segoe UI Semilight" w:hAnsi="Segoe UI Semilight" w:cs="Vrinda"/>
      <w:b/>
      <w:bCs/>
      <w:kern w:val="28"/>
      <w:sz w:val="32"/>
      <w:szCs w:val="32"/>
      <w:lang w:val="en-US" w:eastAsia="es-ES"/>
    </w:rPr>
  </w:style>
  <w:style w:type="character" w:customStyle="1" w:styleId="bizTitleChar">
    <w:name w:val="bizTitle Char"/>
    <w:link w:val="bizTitle"/>
    <w:rsid w:val="005A0321"/>
    <w:rPr>
      <w:rFonts w:ascii="Segoe UI" w:hAnsi="Segoe UI" w:cs="Vrinda"/>
      <w:b/>
      <w:bCs/>
      <w:color w:val="0081C6"/>
      <w:kern w:val="28"/>
      <w:sz w:val="48"/>
      <w:szCs w:val="32"/>
      <w:lang w:val="en-US" w:eastAsia="es-ES"/>
    </w:rPr>
  </w:style>
  <w:style w:type="paragraph" w:customStyle="1" w:styleId="BoldModelerNormal">
    <w:name w:val="BoldModelerNormal"/>
    <w:basedOn w:val="ModelerNormal"/>
    <w:next w:val="ModelerNormal"/>
    <w:qFormat/>
    <w:rsid w:val="003C45DE"/>
    <w:rPr>
      <w:b/>
    </w:rPr>
  </w:style>
  <w:style w:type="paragraph" w:styleId="Subtitle">
    <w:name w:val="Subtitle"/>
    <w:basedOn w:val="Normal"/>
    <w:next w:val="Normal"/>
    <w:link w:val="SubtitleChar"/>
    <w:qFormat/>
    <w:rsid w:val="0010047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rsid w:val="00100479"/>
    <w:rPr>
      <w:rFonts w:ascii="Cambria" w:eastAsia="Times New Roman" w:hAnsi="Cambria" w:cs="Vrinda"/>
      <w:sz w:val="24"/>
      <w:szCs w:val="24"/>
      <w:lang w:val="en-US" w:eastAsia="es-ES" w:bidi="ar-SA"/>
    </w:rPr>
  </w:style>
  <w:style w:type="character" w:customStyle="1" w:styleId="bizSubtitleChar">
    <w:name w:val="bizSubtitle Char"/>
    <w:link w:val="bizSubtitle"/>
    <w:rsid w:val="005A0321"/>
    <w:rPr>
      <w:rFonts w:ascii="Segoe UI Semilight" w:hAnsi="Segoe UI Semilight" w:cs="Vrinda"/>
      <w:color w:val="0081C6"/>
      <w:sz w:val="32"/>
      <w:szCs w:val="24"/>
      <w:lang w:val="en-US" w:eastAsia="es-ES"/>
    </w:rPr>
  </w:style>
  <w:style w:type="paragraph" w:styleId="TOC4">
    <w:name w:val="toc 4"/>
    <w:basedOn w:val="Normal"/>
    <w:next w:val="Normal"/>
    <w:autoRedefine/>
    <w:rsid w:val="00805BC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1" Type="http://schemas.openxmlformats.org/officeDocument/2006/relationships/image" Target="media/image5.png" /><Relationship Id="rId12" Type="http://schemas.openxmlformats.org/officeDocument/2006/relationships/image" Target="media/image6.png" /><Relationship Id="rId13" Type="http://schemas.openxmlformats.org/officeDocument/2006/relationships/image" Target="media/image7.png" /><Relationship Id="rId14" Type="http://schemas.openxmlformats.org/officeDocument/2006/relationships/image" Target="media/image8.emf" /><Relationship Id="rId15" Type="http://schemas.openxmlformats.org/officeDocument/2006/relationships/image" Target="media/image9.emf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image" Target="media/image2.png" /><Relationship Id="rId9" Type="http://schemas.openxmlformats.org/officeDocument/2006/relationships/image" Target="media/image3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9EFD2-4B14-49F4-A27B-B3F3661A7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ModelerTemplate.dot</Template>
  <TotalTime>0</TotalTime>
  <Pages>31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00272691240</dc:creator>
  <cp:lastModifiedBy>00272691240</cp:lastModifiedBy>
  <cp:revision>1</cp:revision>
  <dcterms:created xsi:type="dcterms:W3CDTF">2018-07-11T18:32:00Z</dcterms:created>
  <dcterms:modified xsi:type="dcterms:W3CDTF">2018-07-11T18:33:00Z</dcterms:modified>
</cp:coreProperties>
</file>