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3 -->
  <w:body>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oldModelerNormal"/>
      </w:pPr>
    </w:p>
    <w:p w:rsidR="00B603BE" w:rsidRPr="00275F9A" w:rsidP="00032CAE">
      <w:pPr>
        <w:pStyle w:val="bizTitle"/>
        <w:jc w:val="right"/>
      </w:pPr>
      <w:bookmarkStart w:id="0" w:name="_Toc256000000"/>
      <w:r w:rsidRPr="00275F9A">
        <w:t>Modernização dos Processos de Recursos Humanos</w:t>
      </w:r>
      <w:bookmarkEnd w:id="0"/>
    </w:p>
    <w:p w:rsidR="00B603BE" w:rsidRPr="00275F9A" w:rsidP="00032CAE">
      <w:pPr>
        <w:pStyle w:val="bizSubtitle"/>
        <w:jc w:val="right"/>
      </w:pPr>
      <w:bookmarkStart w:id="1" w:name="_Toc256000001"/>
      <w:r w:rsidRPr="00275F9A">
        <w:t>Bizagi Modeler</w:t>
      </w:r>
      <w:bookmarkEnd w:id="1"/>
    </w:p>
    <w:p w:rsidR="00B603BE" w:rsidRPr="00275F9A">
      <w:pPr>
        <w:sectPr w:rsidSect="00503EE8">
          <w:headerReference w:type="default" r:id="rId6"/>
          <w:footerReference w:type="even" r:id="rId7"/>
          <w:footerReference w:type="default" r:id="rId8"/>
          <w:footerReference w:type="first" r:id="rId9"/>
          <w:pgSz w:w="12240" w:h="15840" w:code="1"/>
          <w:pgMar w:top="1616" w:right="1701" w:bottom="1418" w:left="1701" w:header="709" w:footer="255" w:gutter="0"/>
          <w:cols w:space="708"/>
          <w:docGrid w:linePitch="360"/>
        </w:sectPr>
      </w:pPr>
    </w:p>
    <w:p w:rsidR="00AE3ACF" w:rsidRPr="008D2D31" w:rsidP="00854218">
      <w:pPr>
        <w:jc w:val="center"/>
      </w:pPr>
      <w:r w:rsidRPr="008D2D31">
        <w:t>Índice</w:t>
      </w:r>
      <w:r w:rsidRPr="008D2D31">
        <w:fldChar w:fldCharType="begin"/>
      </w:r>
      <w:r w:rsidRPr="008D2D31">
        <w:instrText>TOC \o "1-4" \h \z \u</w:instrText>
      </w:r>
      <w:r w:rsidRPr="008D2D31">
        <w:fldChar w:fldCharType="separate"/>
      </w:r>
    </w:p>
    <w:p>
      <w:pPr>
        <w:pStyle w:val="TOC1"/>
        <w:tabs>
          <w:tab w:val="right" w:leader="dot" w:pos="8828"/>
        </w:tabs>
        <w:rPr>
          <w:rFonts w:ascii="Calibri" w:hAnsi="Calibri"/>
          <w:noProof/>
          <w:sz w:val="22"/>
        </w:rPr>
      </w:pPr>
      <w:hyperlink w:anchor="_Toc256000000" w:history="1">
        <w:r w:rsidRPr="00275F9A" w:rsidR="00B603BE">
          <w:rPr>
            <w:rStyle w:val="Hyperlink"/>
          </w:rPr>
          <w:t>Modernização dos Processos de Recursos Humanos</w:t>
        </w:r>
        <w:r>
          <w:tab/>
        </w:r>
        <w:r>
          <w:fldChar w:fldCharType="begin"/>
        </w:r>
        <w:r>
          <w:instrText xml:space="preserve"> PAGEREF _Toc256000000 \h </w:instrText>
        </w:r>
        <w:r>
          <w:fldChar w:fldCharType="separate"/>
        </w:r>
        <w:r>
          <w:t>1</w:t>
        </w:r>
        <w:r>
          <w:fldChar w:fldCharType="end"/>
        </w:r>
      </w:hyperlink>
    </w:p>
    <w:p>
      <w:pPr>
        <w:pStyle w:val="TOC2"/>
        <w:rPr>
          <w:rFonts w:ascii="Calibri" w:hAnsi="Calibri"/>
          <w:noProof/>
          <w:sz w:val="22"/>
        </w:rPr>
      </w:pPr>
      <w:hyperlink w:anchor="_Toc256000001" w:history="1">
        <w:r w:rsidRPr="00275F9A" w:rsidR="00B603BE">
          <w:rPr>
            <w:rStyle w:val="Hyperlink"/>
          </w:rPr>
          <w:t>Bizagi Modeler</w:t>
        </w:r>
        <w:r>
          <w:tab/>
        </w:r>
        <w:r>
          <w:fldChar w:fldCharType="begin"/>
        </w:r>
        <w:r>
          <w:instrText xml:space="preserve"> PAGEREF _Toc256000001 \h </w:instrText>
        </w:r>
        <w:r>
          <w:fldChar w:fldCharType="separate"/>
        </w:r>
        <w:r>
          <w:t>1</w:t>
        </w:r>
        <w:r>
          <w:fldChar w:fldCharType="end"/>
        </w:r>
      </w:hyperlink>
    </w:p>
    <w:p>
      <w:pPr>
        <w:pStyle w:val="TOC1"/>
        <w:tabs>
          <w:tab w:val="left" w:pos="403"/>
          <w:tab w:val="right" w:leader="dot" w:pos="8828"/>
        </w:tabs>
        <w:rPr>
          <w:rFonts w:ascii="Calibri" w:hAnsi="Calibri"/>
          <w:noProof/>
          <w:sz w:val="22"/>
        </w:rPr>
      </w:pPr>
      <w:hyperlink w:anchor="_Toc256000002" w:history="1">
        <w:r>
          <w:rPr>
            <w:rStyle w:val="Hyperlink"/>
          </w:rPr>
          <w:t>1</w:t>
        </w:r>
        <w:r>
          <w:rPr>
            <w:rFonts w:ascii="Calibri" w:hAnsi="Calibri"/>
            <w:noProof/>
            <w:sz w:val="22"/>
          </w:rPr>
          <w:tab/>
        </w:r>
        <w:r>
          <w:rPr>
            <w:rStyle w:val="Hyperlink"/>
          </w:rPr>
          <w:t>TO-BE Padronizado - Registro de Assentamento</w:t>
        </w:r>
        <w:r>
          <w:tab/>
        </w:r>
        <w:r>
          <w:fldChar w:fldCharType="begin"/>
        </w:r>
        <w:r>
          <w:instrText xml:space="preserve"> PAGEREF _Toc256000002 \h </w:instrText>
        </w:r>
        <w:r>
          <w:fldChar w:fldCharType="separate"/>
        </w:r>
        <w:r>
          <w:t>3</w:t>
        </w:r>
        <w:r>
          <w:fldChar w:fldCharType="end"/>
        </w:r>
      </w:hyperlink>
    </w:p>
    <w:p>
      <w:pPr>
        <w:pStyle w:val="TOC2"/>
        <w:tabs>
          <w:tab w:val="left" w:pos="800"/>
        </w:tabs>
        <w:rPr>
          <w:rFonts w:ascii="Calibri" w:hAnsi="Calibri"/>
          <w:noProof/>
          <w:sz w:val="22"/>
        </w:rPr>
      </w:pPr>
      <w:hyperlink w:anchor="_Toc256000003" w:history="1">
        <w:r>
          <w:rPr>
            <w:rStyle w:val="Hyperlink"/>
          </w:rPr>
          <w:t>1.1</w:t>
        </w:r>
        <w:r>
          <w:rPr>
            <w:rFonts w:ascii="Calibri" w:hAnsi="Calibri"/>
            <w:noProof/>
            <w:sz w:val="22"/>
          </w:rPr>
          <w:tab/>
        </w:r>
        <w:r>
          <w:rPr>
            <w:rStyle w:val="Hyperlink"/>
          </w:rPr>
          <w:t>Registro de Assentamento</w:t>
        </w:r>
        <w:r>
          <w:tab/>
        </w:r>
        <w:r>
          <w:fldChar w:fldCharType="begin"/>
        </w:r>
        <w:r>
          <w:instrText xml:space="preserve"> PAGEREF _Toc256000003 \h </w:instrText>
        </w:r>
        <w:r>
          <w:fldChar w:fldCharType="separate"/>
        </w:r>
        <w:r>
          <w:t>4</w:t>
        </w:r>
        <w:r>
          <w:fldChar w:fldCharType="end"/>
        </w:r>
      </w:hyperlink>
    </w:p>
    <w:p>
      <w:pPr>
        <w:pStyle w:val="TOC3"/>
        <w:rPr>
          <w:rFonts w:ascii="Calibri" w:hAnsi="Calibri"/>
          <w:noProof/>
          <w:sz w:val="22"/>
        </w:rPr>
      </w:pPr>
      <w:hyperlink w:anchor="_Toc256000004" w:history="1">
        <w:r>
          <w:rPr>
            <w:rStyle w:val="Hyperlink"/>
          </w:rPr>
          <w:t>1.1.1</w:t>
        </w:r>
        <w:r>
          <w:rPr>
            <w:rFonts w:ascii="Calibri" w:hAnsi="Calibri"/>
            <w:noProof/>
            <w:sz w:val="22"/>
          </w:rPr>
          <w:tab/>
        </w:r>
        <w:r>
          <w:rPr>
            <w:rStyle w:val="Hyperlink"/>
          </w:rPr>
          <w:t>Elementos do processo</w:t>
        </w:r>
        <w:r>
          <w:tab/>
        </w:r>
        <w:r>
          <w:fldChar w:fldCharType="begin"/>
        </w:r>
        <w:r>
          <w:instrText xml:space="preserve"> PAGEREF _Toc256000004 \h </w:instrText>
        </w:r>
        <w:r>
          <w:fldChar w:fldCharType="separate"/>
        </w:r>
        <w:r>
          <w:t>4</w:t>
        </w:r>
        <w:r>
          <w:fldChar w:fldCharType="end"/>
        </w:r>
      </w:hyperlink>
    </w:p>
    <w:p>
      <w:pPr>
        <w:pStyle w:val="TOC4"/>
        <w:rPr>
          <w:rFonts w:ascii="Calibri" w:hAnsi="Calibri"/>
          <w:noProof/>
          <w:sz w:val="22"/>
        </w:rPr>
      </w:pPr>
      <w:hyperlink w:anchor="_Toc256000005" w:history="1">
        <w:r>
          <w:rPr>
            <w:rStyle w:val="Hyperlink"/>
          </w:rPr>
          <w:t>1.1.1.1</w:t>
        </w:r>
        <w:r>
          <w:rPr>
            <w:rFonts w:ascii="Calibri" w:hAnsi="Calibri"/>
            <w:noProof/>
            <w:sz w:val="22"/>
          </w:rPr>
          <w:tab/>
        </w:r>
        <w:r>
          <w:drawing>
            <wp:inline>
              <wp:extent cx="152421" cy="152421"/>
              <wp:docPr id="1000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5729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1. Solicitar liberação</w:t>
        </w:r>
        <w:r>
          <w:tab/>
        </w:r>
        <w:r>
          <w:fldChar w:fldCharType="begin"/>
        </w:r>
        <w:r>
          <w:instrText xml:space="preserve"> PAGEREF _Toc256000005 \h </w:instrText>
        </w:r>
        <w:r>
          <w:fldChar w:fldCharType="separate"/>
        </w:r>
        <w:r>
          <w:t>4</w:t>
        </w:r>
        <w:r>
          <w:fldChar w:fldCharType="end"/>
        </w:r>
      </w:hyperlink>
    </w:p>
    <w:p>
      <w:pPr>
        <w:pStyle w:val="TOC4"/>
        <w:rPr>
          <w:rFonts w:ascii="Calibri" w:hAnsi="Calibri"/>
          <w:noProof/>
          <w:sz w:val="22"/>
        </w:rPr>
      </w:pPr>
      <w:hyperlink w:anchor="_Toc256000006" w:history="1">
        <w:r>
          <w:rPr>
            <w:rStyle w:val="Hyperlink"/>
          </w:rPr>
          <w:t>1.1.1.2</w:t>
        </w:r>
        <w:r>
          <w:rPr>
            <w:rFonts w:ascii="Calibri" w:hAnsi="Calibri"/>
            <w:noProof/>
            <w:sz w:val="22"/>
          </w:rPr>
          <w:tab/>
        </w:r>
        <w:r>
          <w:drawing>
            <wp:inline>
              <wp:extent cx="152421" cy="152421"/>
              <wp:docPr id="1000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913839"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2. Analisar solicitação</w:t>
        </w:r>
        <w:r>
          <w:tab/>
        </w:r>
        <w:r>
          <w:fldChar w:fldCharType="begin"/>
        </w:r>
        <w:r>
          <w:instrText xml:space="preserve"> PAGEREF _Toc256000006 \h </w:instrText>
        </w:r>
        <w:r>
          <w:fldChar w:fldCharType="separate"/>
        </w:r>
        <w:r>
          <w:t>5</w:t>
        </w:r>
        <w:r>
          <w:fldChar w:fldCharType="end"/>
        </w:r>
      </w:hyperlink>
    </w:p>
    <w:p>
      <w:pPr>
        <w:pStyle w:val="TOC4"/>
        <w:rPr>
          <w:rFonts w:ascii="Calibri" w:hAnsi="Calibri"/>
          <w:noProof/>
          <w:sz w:val="22"/>
        </w:rPr>
      </w:pPr>
      <w:hyperlink w:anchor="_Toc256000007" w:history="1">
        <w:r>
          <w:rPr>
            <w:rStyle w:val="Hyperlink"/>
          </w:rPr>
          <w:t>1.1.1.3</w:t>
        </w:r>
        <w:r>
          <w:rPr>
            <w:rFonts w:ascii="Calibri" w:hAnsi="Calibri"/>
            <w:noProof/>
            <w:sz w:val="22"/>
          </w:rPr>
          <w:tab/>
        </w:r>
        <w:r>
          <w:drawing>
            <wp:inline>
              <wp:extent cx="152421" cy="152421"/>
              <wp:docPr id="1000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63102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3. Deferir solicitação</w:t>
        </w:r>
        <w:r>
          <w:tab/>
        </w:r>
        <w:r>
          <w:fldChar w:fldCharType="begin"/>
        </w:r>
        <w:r>
          <w:instrText xml:space="preserve"> PAGEREF _Toc256000007 \h </w:instrText>
        </w:r>
        <w:r>
          <w:fldChar w:fldCharType="separate"/>
        </w:r>
        <w:r>
          <w:t>6</w:t>
        </w:r>
        <w:r>
          <w:fldChar w:fldCharType="end"/>
        </w:r>
      </w:hyperlink>
    </w:p>
    <w:p>
      <w:pPr>
        <w:pStyle w:val="TOC4"/>
        <w:rPr>
          <w:rFonts w:ascii="Calibri" w:hAnsi="Calibri"/>
          <w:noProof/>
          <w:sz w:val="22"/>
        </w:rPr>
      </w:pPr>
      <w:hyperlink w:anchor="_Toc256000008" w:history="1">
        <w:r>
          <w:rPr>
            <w:rStyle w:val="Hyperlink"/>
          </w:rPr>
          <w:t>1.1.1.4</w:t>
        </w:r>
        <w:r>
          <w:rPr>
            <w:rFonts w:ascii="Calibri" w:hAnsi="Calibri"/>
            <w:noProof/>
            <w:sz w:val="22"/>
          </w:rPr>
          <w:tab/>
        </w:r>
        <w:r>
          <w:drawing>
            <wp:inline>
              <wp:extent cx="152421" cy="152421"/>
              <wp:docPr id="1000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541616"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4. Notificar servidor</w:t>
        </w:r>
        <w:r>
          <w:tab/>
        </w:r>
        <w:r>
          <w:fldChar w:fldCharType="begin"/>
        </w:r>
        <w:r>
          <w:instrText xml:space="preserve"> PAGEREF _Toc256000008 \h </w:instrText>
        </w:r>
        <w:r>
          <w:fldChar w:fldCharType="separate"/>
        </w:r>
        <w:r>
          <w:t>6</w:t>
        </w:r>
        <w:r>
          <w:fldChar w:fldCharType="end"/>
        </w:r>
      </w:hyperlink>
    </w:p>
    <w:p>
      <w:pPr>
        <w:pStyle w:val="TOC4"/>
        <w:rPr>
          <w:rFonts w:ascii="Calibri" w:hAnsi="Calibri"/>
          <w:noProof/>
          <w:sz w:val="22"/>
        </w:rPr>
      </w:pPr>
      <w:hyperlink w:anchor="_Toc256000009" w:history="1">
        <w:r>
          <w:rPr>
            <w:rStyle w:val="Hyperlink"/>
          </w:rPr>
          <w:t>1.1.1.5</w:t>
        </w:r>
        <w:r>
          <w:rPr>
            <w:rFonts w:ascii="Calibri" w:hAnsi="Calibri"/>
            <w:noProof/>
            <w:sz w:val="22"/>
          </w:rPr>
          <w:tab/>
        </w:r>
        <w:r>
          <w:drawing>
            <wp:inline>
              <wp:extent cx="152421" cy="152421"/>
              <wp:docPr id="1000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591915"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4. Visualizar deferimento</w:t>
        </w:r>
        <w:r>
          <w:tab/>
        </w:r>
        <w:r>
          <w:fldChar w:fldCharType="begin"/>
        </w:r>
        <w:r>
          <w:instrText xml:space="preserve"> PAGEREF _Toc256000009 \h </w:instrText>
        </w:r>
        <w:r>
          <w:fldChar w:fldCharType="separate"/>
        </w:r>
        <w:r>
          <w:t>6</w:t>
        </w:r>
        <w:r>
          <w:fldChar w:fldCharType="end"/>
        </w:r>
      </w:hyperlink>
    </w:p>
    <w:p>
      <w:pPr>
        <w:pStyle w:val="TOC4"/>
        <w:rPr>
          <w:rFonts w:ascii="Calibri" w:hAnsi="Calibri"/>
          <w:noProof/>
          <w:sz w:val="22"/>
        </w:rPr>
      </w:pPr>
      <w:hyperlink w:anchor="_Toc256000010" w:history="1">
        <w:r>
          <w:rPr>
            <w:rStyle w:val="Hyperlink"/>
          </w:rPr>
          <w:t>1.1.1.6</w:t>
        </w:r>
        <w:r>
          <w:rPr>
            <w:rFonts w:ascii="Calibri" w:hAnsi="Calibri"/>
            <w:noProof/>
            <w:sz w:val="22"/>
          </w:rPr>
          <w:tab/>
        </w:r>
        <w:r>
          <w:drawing>
            <wp:inline>
              <wp:extent cx="152421" cy="152421"/>
              <wp:docPr id="1000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468021"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5. Dar ciência na notificação</w:t>
        </w:r>
        <w:r>
          <w:tab/>
        </w:r>
        <w:r>
          <w:fldChar w:fldCharType="begin"/>
        </w:r>
        <w:r>
          <w:instrText xml:space="preserve"> PAGEREF _Toc256000010 \h </w:instrText>
        </w:r>
        <w:r>
          <w:fldChar w:fldCharType="separate"/>
        </w:r>
        <w:r>
          <w:t>7</w:t>
        </w:r>
        <w:r>
          <w:fldChar w:fldCharType="end"/>
        </w:r>
      </w:hyperlink>
    </w:p>
    <w:p>
      <w:pPr>
        <w:pStyle w:val="TOC4"/>
        <w:rPr>
          <w:rFonts w:ascii="Calibri" w:hAnsi="Calibri"/>
          <w:noProof/>
          <w:sz w:val="22"/>
        </w:rPr>
      </w:pPr>
      <w:hyperlink w:anchor="_Toc256000011" w:history="1">
        <w:r>
          <w:rPr>
            <w:rStyle w:val="Hyperlink"/>
          </w:rPr>
          <w:t>1.1.1.7</w:t>
        </w:r>
        <w:r>
          <w:rPr>
            <w:rFonts w:ascii="Calibri" w:hAnsi="Calibri"/>
            <w:noProof/>
            <w:sz w:val="22"/>
          </w:rPr>
          <w:tab/>
        </w:r>
        <w:r>
          <w:drawing>
            <wp:inline>
              <wp:extent cx="152421" cy="152421"/>
              <wp:docPr id="1000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951658"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rPr>
            <w:rStyle w:val="Hyperlink"/>
          </w:rPr>
          <w:t>6. Visualizar notificação de término do prazo</w:t>
        </w:r>
        <w:r>
          <w:tab/>
        </w:r>
        <w:r>
          <w:fldChar w:fldCharType="begin"/>
        </w:r>
        <w:r>
          <w:instrText xml:space="preserve"> PAGEREF _Toc256000011 \h </w:instrText>
        </w:r>
        <w:r>
          <w:fldChar w:fldCharType="separate"/>
        </w:r>
        <w:r>
          <w:t>7</w:t>
        </w:r>
        <w:r>
          <w:fldChar w:fldCharType="end"/>
        </w:r>
      </w:hyperlink>
    </w:p>
    <w:p>
      <w:pPr>
        <w:pStyle w:val="TOC4"/>
        <w:rPr>
          <w:rFonts w:ascii="Calibri" w:hAnsi="Calibri"/>
          <w:noProof/>
          <w:sz w:val="22"/>
        </w:rPr>
      </w:pPr>
      <w:hyperlink w:anchor="_Toc256000012" w:history="1">
        <w:r>
          <w:rPr>
            <w:rStyle w:val="Hyperlink"/>
          </w:rPr>
          <w:t>1.1.1.8</w:t>
        </w:r>
        <w:r>
          <w:rPr>
            <w:rFonts w:ascii="Calibri" w:hAnsi="Calibri"/>
            <w:noProof/>
            <w:sz w:val="22"/>
          </w:rPr>
          <w:tab/>
        </w:r>
        <w:r>
          <w:drawing>
            <wp:inline>
              <wp:extent cx="152421" cy="152421"/>
              <wp:docPr id="1000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3287"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rPr>
            <w:rStyle w:val="Hyperlink"/>
          </w:rPr>
          <w:t>3. Notificar Servidor</w:t>
        </w:r>
        <w:r>
          <w:tab/>
        </w:r>
        <w:r>
          <w:fldChar w:fldCharType="begin"/>
        </w:r>
        <w:r>
          <w:instrText xml:space="preserve"> PAGEREF _Toc256000012 \h </w:instrText>
        </w:r>
        <w:r>
          <w:fldChar w:fldCharType="separate"/>
        </w:r>
        <w:r>
          <w:t>8</w:t>
        </w:r>
        <w:r>
          <w:fldChar w:fldCharType="end"/>
        </w:r>
      </w:hyperlink>
    </w:p>
    <w:p>
      <w:pPr>
        <w:pStyle w:val="TOC4"/>
        <w:rPr>
          <w:rFonts w:ascii="Calibri" w:hAnsi="Calibri"/>
          <w:noProof/>
          <w:sz w:val="22"/>
        </w:rPr>
      </w:pPr>
      <w:hyperlink w:anchor="_Toc256000013" w:history="1">
        <w:r>
          <w:rPr>
            <w:rStyle w:val="Hyperlink"/>
          </w:rPr>
          <w:t>1.1.1.9</w:t>
        </w:r>
        <w:r>
          <w:rPr>
            <w:rFonts w:ascii="Calibri" w:hAnsi="Calibri"/>
            <w:noProof/>
            <w:sz w:val="22"/>
          </w:rPr>
          <w:tab/>
        </w:r>
        <w:r>
          <w:drawing>
            <wp:inline>
              <wp:extent cx="152421" cy="152421"/>
              <wp:docPr id="1000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51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4. Dar ciência na notificação</w:t>
        </w:r>
        <w:r>
          <w:tab/>
        </w:r>
        <w:r>
          <w:fldChar w:fldCharType="begin"/>
        </w:r>
        <w:r>
          <w:instrText xml:space="preserve"> PAGEREF _Toc256000013 \h </w:instrText>
        </w:r>
        <w:r>
          <w:fldChar w:fldCharType="separate"/>
        </w:r>
        <w:r>
          <w:t>8</w:t>
        </w:r>
        <w:r>
          <w:fldChar w:fldCharType="end"/>
        </w:r>
      </w:hyperlink>
    </w:p>
    <w:p>
      <w:pPr>
        <w:pStyle w:val="TOC4"/>
        <w:rPr>
          <w:rFonts w:ascii="Calibri" w:hAnsi="Calibri"/>
          <w:noProof/>
          <w:sz w:val="22"/>
        </w:rPr>
      </w:pPr>
      <w:hyperlink w:anchor="_Toc256000014" w:history="1">
        <w:r>
          <w:rPr>
            <w:rStyle w:val="Hyperlink"/>
          </w:rPr>
          <w:t>1.1.1.10</w:t>
        </w:r>
        <w:r>
          <w:rPr>
            <w:rFonts w:ascii="Calibri" w:hAnsi="Calibri"/>
            <w:noProof/>
            <w:sz w:val="22"/>
          </w:rPr>
          <w:tab/>
        </w:r>
        <w:r>
          <w:drawing>
            <wp:inline>
              <wp:extent cx="152421" cy="152421"/>
              <wp:docPr id="1000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36002"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rPr>
            <w:rStyle w:val="Hyperlink"/>
          </w:rPr>
          <w:t>Corrigir inconformidade</w:t>
        </w:r>
        <w:r>
          <w:tab/>
        </w:r>
        <w:r>
          <w:fldChar w:fldCharType="begin"/>
        </w:r>
        <w:r>
          <w:instrText xml:space="preserve"> PAGEREF _Toc256000014 \h </w:instrText>
        </w:r>
        <w:r>
          <w:fldChar w:fldCharType="separate"/>
        </w:r>
        <w:r>
          <w:t>8</w:t>
        </w:r>
        <w:r>
          <w:fldChar w:fldCharType="end"/>
        </w:r>
      </w:hyperlink>
    </w:p>
    <w:p>
      <w:pPr>
        <w:pStyle w:val="TOC4"/>
        <w:rPr>
          <w:rFonts w:ascii="Calibri" w:hAnsi="Calibri"/>
          <w:noProof/>
          <w:sz w:val="22"/>
        </w:rPr>
      </w:pPr>
      <w:hyperlink w:anchor="_Toc256000015" w:history="1">
        <w:r>
          <w:rPr>
            <w:rStyle w:val="Hyperlink"/>
          </w:rPr>
          <w:t>1.1.1.11</w:t>
        </w:r>
        <w:r>
          <w:rPr>
            <w:rFonts w:ascii="Calibri" w:hAnsi="Calibri"/>
            <w:noProof/>
            <w:sz w:val="22"/>
          </w:rPr>
          <w:tab/>
        </w:r>
        <w:r>
          <w:drawing>
            <wp:inline>
              <wp:extent cx="152421" cy="152421"/>
              <wp:docPr id="1000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8096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6. Anexar documento comprobatório</w:t>
        </w:r>
        <w:r>
          <w:tab/>
        </w:r>
        <w:r>
          <w:fldChar w:fldCharType="begin"/>
        </w:r>
        <w:r>
          <w:instrText xml:space="preserve"> PAGEREF _Toc256000015 \h </w:instrText>
        </w:r>
        <w:r>
          <w:fldChar w:fldCharType="separate"/>
        </w:r>
        <w:r>
          <w:t>8</w:t>
        </w:r>
        <w:r>
          <w:fldChar w:fldCharType="end"/>
        </w:r>
      </w:hyperlink>
    </w:p>
    <w:p>
      <w:pPr>
        <w:pStyle w:val="TOC4"/>
        <w:rPr>
          <w:rFonts w:ascii="Calibri" w:hAnsi="Calibri"/>
          <w:noProof/>
          <w:sz w:val="22"/>
        </w:rPr>
      </w:pPr>
      <w:hyperlink w:anchor="_Toc256000016" w:history="1">
        <w:r>
          <w:rPr>
            <w:rStyle w:val="Hyperlink"/>
          </w:rPr>
          <w:t>1.1.1.12</w:t>
        </w:r>
        <w:r>
          <w:rPr>
            <w:rFonts w:ascii="Calibri" w:hAnsi="Calibri"/>
            <w:noProof/>
            <w:sz w:val="22"/>
          </w:rPr>
          <w:tab/>
        </w:r>
        <w:r>
          <w:drawing>
            <wp:inline>
              <wp:extent cx="152421" cy="152421"/>
              <wp:docPr id="1000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4324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7. Analisar documento comprobatório</w:t>
        </w:r>
        <w:r>
          <w:tab/>
        </w:r>
        <w:r>
          <w:fldChar w:fldCharType="begin"/>
        </w:r>
        <w:r>
          <w:instrText xml:space="preserve"> PAGEREF _Toc256000016 \h </w:instrText>
        </w:r>
        <w:r>
          <w:fldChar w:fldCharType="separate"/>
        </w:r>
        <w:r>
          <w:t>9</w:t>
        </w:r>
        <w:r>
          <w:fldChar w:fldCharType="end"/>
        </w:r>
      </w:hyperlink>
    </w:p>
    <w:p>
      <w:pPr>
        <w:pStyle w:val="TOC4"/>
        <w:rPr>
          <w:rFonts w:ascii="Calibri" w:hAnsi="Calibri"/>
          <w:noProof/>
          <w:sz w:val="22"/>
        </w:rPr>
      </w:pPr>
      <w:hyperlink w:anchor="_Toc256000017" w:history="1">
        <w:r>
          <w:rPr>
            <w:rStyle w:val="Hyperlink"/>
          </w:rPr>
          <w:t>1.1.1.13</w:t>
        </w:r>
        <w:r>
          <w:rPr>
            <w:rFonts w:ascii="Calibri" w:hAnsi="Calibri"/>
            <w:noProof/>
            <w:sz w:val="22"/>
          </w:rPr>
          <w:tab/>
        </w:r>
        <w:r>
          <w:drawing>
            <wp:inline>
              <wp:extent cx="152421" cy="152421"/>
              <wp:docPr id="1000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41248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8.  Lançar ocorrência</w:t>
        </w:r>
        <w:r>
          <w:tab/>
        </w:r>
        <w:r>
          <w:fldChar w:fldCharType="begin"/>
        </w:r>
        <w:r>
          <w:instrText xml:space="preserve"> PAGEREF _Toc256000017 \h </w:instrText>
        </w:r>
        <w:r>
          <w:fldChar w:fldCharType="separate"/>
        </w:r>
        <w:r>
          <w:t>9</w:t>
        </w:r>
        <w:r>
          <w:fldChar w:fldCharType="end"/>
        </w:r>
      </w:hyperlink>
    </w:p>
    <w:p>
      <w:pPr>
        <w:pStyle w:val="TOC4"/>
        <w:rPr>
          <w:rFonts w:ascii="Calibri" w:hAnsi="Calibri"/>
          <w:noProof/>
          <w:sz w:val="22"/>
        </w:rPr>
      </w:pPr>
      <w:hyperlink w:anchor="_Toc256000018" w:history="1">
        <w:r>
          <w:rPr>
            <w:rStyle w:val="Hyperlink"/>
          </w:rPr>
          <w:t>1.1.1.14</w:t>
        </w:r>
        <w:r>
          <w:rPr>
            <w:rFonts w:ascii="Calibri" w:hAnsi="Calibri"/>
            <w:noProof/>
            <w:sz w:val="22"/>
          </w:rPr>
          <w:tab/>
        </w:r>
        <w:r>
          <w:drawing>
            <wp:inline>
              <wp:extent cx="152421" cy="152421"/>
              <wp:docPr id="1000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43204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rPr>
            <w:rStyle w:val="Hyperlink"/>
          </w:rPr>
          <w:t>9. Encerrar processo</w:t>
        </w:r>
        <w:r>
          <w:tab/>
        </w:r>
        <w:r>
          <w:fldChar w:fldCharType="begin"/>
        </w:r>
        <w:r>
          <w:instrText xml:space="preserve"> PAGEREF _Toc256000018 \h </w:instrText>
        </w:r>
        <w:r>
          <w:fldChar w:fldCharType="separate"/>
        </w:r>
        <w:r>
          <w:t>10</w:t>
        </w:r>
        <w:r>
          <w:fldChar w:fldCharType="end"/>
        </w:r>
      </w:hyperlink>
    </w:p>
    <w:p>
      <w:pPr>
        <w:pStyle w:val="TOC4"/>
        <w:rPr>
          <w:rFonts w:ascii="Calibri" w:hAnsi="Calibri"/>
          <w:noProof/>
          <w:sz w:val="22"/>
        </w:rPr>
      </w:pPr>
      <w:hyperlink w:anchor="_Toc256000019" w:history="1">
        <w:r>
          <w:rPr>
            <w:rStyle w:val="Hyperlink"/>
          </w:rPr>
          <w:t>1.1.1.15</w:t>
        </w:r>
        <w:r>
          <w:rPr>
            <w:rFonts w:ascii="Calibri" w:hAnsi="Calibri"/>
            <w:noProof/>
            <w:sz w:val="22"/>
          </w:rPr>
          <w:tab/>
        </w:r>
        <w:r>
          <w:drawing>
            <wp:inline>
              <wp:extent cx="152421" cy="152421"/>
              <wp:docPr id="1000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44555"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rPr>
            <w:rStyle w:val="Hyperlink"/>
          </w:rPr>
          <w:t>Corrigir inconformidade</w:t>
        </w:r>
        <w:r>
          <w:tab/>
        </w:r>
        <w:r>
          <w:fldChar w:fldCharType="begin"/>
        </w:r>
        <w:r>
          <w:instrText xml:space="preserve"> PAGEREF _Toc256000019 \h </w:instrText>
        </w:r>
        <w:r>
          <w:fldChar w:fldCharType="separate"/>
        </w:r>
        <w:r>
          <w:t>10</w:t>
        </w:r>
        <w:r>
          <w:fldChar w:fldCharType="end"/>
        </w:r>
      </w:hyperlink>
    </w:p>
    <w:p w:rsidR="00AE3ACF" w:rsidRPr="008D2D31" w:rsidP="00854218">
      <w:pPr>
        <w:jc w:val="center"/>
        <w:sectPr w:rsidSect="00503EE8">
          <w:headerReference w:type="even" r:id="rId15"/>
          <w:headerReference w:type="default" r:id="rId16"/>
          <w:footerReference w:type="default" r:id="rId17"/>
          <w:headerReference w:type="first" r:id="rId18"/>
          <w:pgSz w:w="12240" w:h="15840" w:code="1"/>
          <w:pgMar w:top="1616" w:right="1701" w:bottom="1418" w:left="1701" w:header="709" w:footer="255" w:gutter="0"/>
          <w:cols w:space="708"/>
          <w:docGrid w:linePitch="360"/>
        </w:sectPr>
      </w:pPr>
      <w:r w:rsidRPr="008D2D31">
        <w:fldChar w:fldCharType="end"/>
      </w:r>
    </w:p>
    <w:p>
      <w:pPr>
        <w:pStyle w:val="bizHeading1"/>
      </w:pPr>
      <w:bookmarkStart w:id="2" w:name="_Toc256000002"/>
      <w:r>
        <w:t>TO-BE Padronizado - Registro de Assentamento</w:t>
      </w:r>
      <w:bookmarkEnd w:id="2"/>
    </w:p>
    <w:p>
      <w:pPr>
        <w:jc w:val="center"/>
      </w:pPr>
      <w:r>
        <w:drawing>
          <wp:inline>
            <wp:extent cx="5612130" cy="3174214"/>
            <wp:docPr id="1000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319576" name=""/>
                    <pic:cNvPicPr>
                      <a:picLocks noChangeAspect="1"/>
                    </pic:cNvPicPr>
                  </pic:nvPicPr>
                  <pic:blipFill>
                    <a:blip xmlns:r="http://schemas.openxmlformats.org/officeDocument/2006/relationships" r:embed="rId19"/>
                    <a:stretch>
                      <a:fillRect/>
                    </a:stretch>
                  </pic:blipFill>
                  <pic:spPr>
                    <a:xfrm>
                      <a:off x="0" y="0"/>
                      <a:ext cx="5612130" cy="3174214"/>
                    </a:xfrm>
                    <a:prstGeom prst="rect">
                      <a:avLst/>
                    </a:prstGeom>
                  </pic:spPr>
                </pic:pic>
              </a:graphicData>
            </a:graphic>
          </wp:inline>
        </w:drawing>
      </w:r>
    </w:p>
    <w:p>
      <w:pPr>
        <w:sectPr>
          <w:pgSz w:w="12240" w:h="15840"/>
          <w:pgMar w:top="1616" w:right="1701" w:bottom="1418" w:left="1701" w:header="708" w:footer="708"/>
          <w:cols w:space="708"/>
        </w:sectPr>
      </w:pPr>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Este processo tem como escopo as atividades necessárias para a ideação do processo de registro de assentamento, focando em integrações com os sistemas já desenvolvidos pela Superintendência Estadual de Tecnologia e Comunicação - SETIC, desde o servidor solicitando sua liberação até a o RH lançando a ocorrência de sua liberação no e-Estado.</w:t>
      </w:r>
    </w:p>
    <w:p>
      <w:pPr>
        <w:pStyle w:val="BoldModelerNormal"/>
      </w:pPr>
      <w:r>
        <w:t xml:space="preserve">Versão: </w:t>
      </w:r>
    </w:p>
    <w:p>
      <w:pPr>
        <w:pStyle w:val="ModelerNormal"/>
      </w:pPr>
      <w:r>
        <w:t>1.0</w:t>
      </w:r>
    </w:p>
    <w:p>
      <w:pPr>
        <w:pStyle w:val="BoldModelerNormal"/>
      </w:pPr>
      <w:r>
        <w:t xml:space="preserve">Autor: </w:t>
      </w:r>
    </w:p>
    <w:p>
      <w:pPr>
        <w:pStyle w:val="ModelerNormal"/>
      </w:pPr>
      <w:r>
        <w:t>Amazonas</w:t>
      </w:r>
    </w:p>
    <w:p>
      <w:pPr>
        <w:pStyle w:val="bizHeading2"/>
      </w:pPr>
      <w:bookmarkStart w:id="3" w:name="3a804c56-6ae3-4315-9746-4e3043bd0c30"/>
      <w:bookmarkStart w:id="4" w:name="_Toc256000003"/>
      <w:r>
        <w:t>Registro de Assentamento</w:t>
      </w:r>
      <w:bookmarkEnd w:id="4"/>
    </w:p>
    <w:p>
      <w:pPr>
        <w:pStyle w:val="bizHeading3"/>
      </w:pPr>
      <w:bookmarkEnd w:id="3"/>
      <w:bookmarkStart w:id="5" w:name="_Toc256000004"/>
      <w:r>
        <w:t>Elementos do processo</w:t>
      </w:r>
      <w:bookmarkEnd w:id="5"/>
    </w:p>
    <w:p>
      <w:pPr>
        <w:pStyle w:val="bizHeading4"/>
      </w:pPr>
      <w:bookmarkStart w:id="6" w:name="_Toc256000005"/>
      <w:r>
        <w:drawing>
          <wp:inline>
            <wp:extent cx="152421" cy="152421"/>
            <wp:docPr id="15204591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297183"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1. Solicitar liberação</w:t>
      </w:r>
      <w:bookmarkEnd w:id="6"/>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Solicitação com todas as informações necessárias inseridas</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Portal do servidor</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Servidor que necessitar</w:t>
      </w:r>
      <w:r>
        <w:rPr>
          <w:rFonts w:ascii="Segoe UI" w:eastAsia="Segoe UI" w:hAnsi="Segoe UI" w:cs="Segoe UI"/>
          <w:b/>
          <w:bCs/>
          <w:i w:val="0"/>
          <w:iCs w:val="0"/>
          <w:color w:val="000000"/>
          <w:sz w:val="16"/>
          <w:szCs w:val="16"/>
        </w:rPr>
        <w:t xml:space="preserve"> </w:t>
      </w:r>
      <w:r>
        <w:rPr>
          <w:rFonts w:ascii="Segoe UI" w:eastAsia="Segoe UI" w:hAnsi="Segoe UI" w:cs="Segoe UI"/>
          <w:b w:val="0"/>
          <w:bCs w:val="0"/>
          <w:i w:val="0"/>
          <w:iCs w:val="0"/>
          <w:color w:val="000000"/>
          <w:sz w:val="16"/>
          <w:szCs w:val="16"/>
        </w:rPr>
        <w:t>liberação de trabalho presencial irá solicitar pelo portal do servidor sua autorização.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2:</w:t>
      </w:r>
      <w:r>
        <w:rPr>
          <w:rFonts w:ascii="Segoe UI" w:eastAsia="Segoe UI" w:hAnsi="Segoe UI" w:cs="Segoe UI"/>
          <w:b w:val="0"/>
          <w:bCs w:val="0"/>
          <w:i w:val="0"/>
          <w:iCs w:val="0"/>
          <w:color w:val="000000"/>
          <w:sz w:val="16"/>
          <w:szCs w:val="16"/>
        </w:rPr>
        <w:t xml:space="preserve"> Será preenchido automaticamente o nome completo e número da matrícula do servidor.</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3: </w:t>
      </w:r>
      <w:r>
        <w:rPr>
          <w:rFonts w:ascii="Segoe UI" w:eastAsia="Segoe UI" w:hAnsi="Segoe UI" w:cs="Segoe UI"/>
          <w:b w:val="0"/>
          <w:bCs w:val="0"/>
          <w:i w:val="0"/>
          <w:iCs w:val="0"/>
          <w:color w:val="000000"/>
          <w:sz w:val="16"/>
          <w:szCs w:val="16"/>
        </w:rPr>
        <w:t>Servidor deverá preencher período necessário (em dias e horas) para realização das atividades devendo justificá-las.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4:</w:t>
      </w:r>
      <w:r>
        <w:rPr>
          <w:rFonts w:ascii="Segoe UI" w:eastAsia="Segoe UI" w:hAnsi="Segoe UI" w:cs="Segoe UI"/>
          <w:b w:val="0"/>
          <w:bCs w:val="0"/>
          <w:i w:val="0"/>
          <w:iCs w:val="0"/>
          <w:color w:val="000000"/>
          <w:sz w:val="16"/>
          <w:szCs w:val="16"/>
        </w:rPr>
        <w:t xml:space="preserve"> Assinar e enviar para a análise do Chefe imediato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xml:space="preserve">Exemplo de Preenchimento: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xml:space="preserve">Dia: 07/03/2022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Quantidade de 6 horas:</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Motivo: Reunião de trabalho em outra secretaria</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Justificativa: Reunião para mapeamento das atividades da secretaria x, cujo horário foi marcado de 7h30 a 12h, levando em consideração a locomoção de ida e volta do local, é necessário a liberação.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Alguns exemplos que o servidor poderá solicitar liberação: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720" w:right="0" w:firstLine="0"/>
        <w:jc w:val="left"/>
      </w:pPr>
      <w:r>
        <w:rPr>
          <w:rFonts w:ascii="Segoe UI" w:eastAsia="Segoe UI" w:hAnsi="Segoe UI" w:cs="Segoe UI"/>
          <w:b w:val="0"/>
          <w:bCs w:val="0"/>
          <w:i w:val="0"/>
          <w:iCs w:val="0"/>
          <w:color w:val="000000"/>
          <w:sz w:val="16"/>
          <w:szCs w:val="16"/>
        </w:rPr>
        <w:t xml:space="preserve">1. </w:t>
      </w:r>
      <w:r>
        <w:rPr>
          <w:rFonts w:ascii="Segoe UI" w:eastAsia="Segoe UI" w:hAnsi="Segoe UI" w:cs="Segoe UI"/>
          <w:b/>
          <w:bCs/>
          <w:i w:val="0"/>
          <w:iCs w:val="0"/>
          <w:color w:val="000000"/>
          <w:sz w:val="16"/>
          <w:szCs w:val="16"/>
        </w:rPr>
        <w:t xml:space="preserve">AUSÊNCIA PARA PARTICIPAÇÃO EM COMPETIÇÕES: </w:t>
      </w:r>
      <w:r>
        <w:rPr>
          <w:rFonts w:ascii="Segoe UI" w:eastAsia="Segoe UI" w:hAnsi="Segoe UI" w:cs="Segoe UI"/>
          <w:b w:val="0"/>
          <w:bCs w:val="0"/>
          <w:i w:val="0"/>
          <w:iCs w:val="0"/>
          <w:color w:val="000000"/>
          <w:sz w:val="16"/>
          <w:szCs w:val="16"/>
        </w:rPr>
        <w:t xml:space="preserve">Servidor que irá participar de campeonatos esportivos. </w:t>
      </w:r>
    </w:p>
    <w:p>
      <w:pPr>
        <w:pStyle w:val="ModelerNormal"/>
        <w:spacing w:before="0" w:after="0" w:afterAutospacing="1"/>
        <w:ind w:left="720" w:right="0" w:firstLine="0"/>
        <w:jc w:val="left"/>
      </w:pPr>
      <w:r>
        <w:rPr>
          <w:rFonts w:ascii="Segoe UI" w:eastAsia="Segoe UI" w:hAnsi="Segoe UI" w:cs="Segoe UI"/>
          <w:b w:val="0"/>
          <w:bCs w:val="0"/>
          <w:i w:val="0"/>
          <w:iCs w:val="0"/>
          <w:color w:val="000000"/>
          <w:sz w:val="16"/>
          <w:szCs w:val="16"/>
        </w:rPr>
        <w:t xml:space="preserve">2. </w:t>
      </w:r>
      <w:r>
        <w:rPr>
          <w:rFonts w:ascii="Segoe UI" w:eastAsia="Segoe UI" w:hAnsi="Segoe UI" w:cs="Segoe UI"/>
          <w:b/>
          <w:bCs/>
          <w:i w:val="0"/>
          <w:iCs w:val="0"/>
          <w:color w:val="000000"/>
          <w:sz w:val="16"/>
          <w:szCs w:val="16"/>
        </w:rPr>
        <w:t xml:space="preserve">A DISPOSIÇÃO DA JUSTIÇA: </w:t>
      </w:r>
      <w:r>
        <w:rPr>
          <w:rFonts w:ascii="Segoe UI" w:eastAsia="Segoe UI" w:hAnsi="Segoe UI" w:cs="Segoe UI"/>
          <w:b w:val="0"/>
          <w:bCs w:val="0"/>
          <w:i w:val="0"/>
          <w:iCs w:val="0"/>
          <w:color w:val="000000"/>
          <w:sz w:val="16"/>
          <w:szCs w:val="16"/>
        </w:rPr>
        <w:t>Servidor que estará como jurado, ou terá audiência, ele apresenta os comprovantes e vai para o chefe e depois para o RH.</w:t>
      </w:r>
    </w:p>
    <w:p>
      <w:pPr>
        <w:pStyle w:val="ModelerNormal"/>
        <w:spacing w:before="0" w:after="0" w:afterAutospacing="1"/>
        <w:ind w:left="720" w:right="0" w:firstLine="0"/>
        <w:jc w:val="left"/>
      </w:pPr>
      <w:r>
        <w:rPr>
          <w:rFonts w:ascii="Segoe UI" w:eastAsia="Segoe UI" w:hAnsi="Segoe UI" w:cs="Segoe UI"/>
          <w:b w:val="0"/>
          <w:bCs w:val="0"/>
          <w:i w:val="0"/>
          <w:iCs w:val="0"/>
          <w:color w:val="000000"/>
          <w:sz w:val="16"/>
          <w:szCs w:val="16"/>
        </w:rPr>
        <w:t xml:space="preserve">3. </w:t>
      </w:r>
      <w:r>
        <w:rPr>
          <w:rFonts w:ascii="Segoe UI" w:eastAsia="Segoe UI" w:hAnsi="Segoe UI" w:cs="Segoe UI"/>
          <w:b/>
          <w:bCs/>
          <w:i w:val="0"/>
          <w:iCs w:val="0"/>
          <w:color w:val="000000"/>
          <w:sz w:val="16"/>
          <w:szCs w:val="16"/>
        </w:rPr>
        <w:t xml:space="preserve">CURSOS OU PALESTRAS: </w:t>
      </w:r>
      <w:r>
        <w:rPr>
          <w:rFonts w:ascii="Segoe UI" w:eastAsia="Segoe UI" w:hAnsi="Segoe UI" w:cs="Segoe UI"/>
          <w:b w:val="0"/>
          <w:bCs w:val="0"/>
          <w:i w:val="0"/>
          <w:iCs w:val="0"/>
          <w:color w:val="000000"/>
          <w:sz w:val="16"/>
          <w:szCs w:val="16"/>
        </w:rPr>
        <w:t>Servidor que necessitar realizar capacitação voltadas ao seu meio de trabalho.</w:t>
      </w:r>
    </w:p>
    <w:p>
      <w:pPr>
        <w:pStyle w:val="ModelerNormal"/>
        <w:spacing w:before="0" w:after="0" w:afterAutospacing="1"/>
        <w:ind w:left="720" w:right="0" w:firstLine="0"/>
        <w:jc w:val="left"/>
      </w:pPr>
      <w:r>
        <w:rPr>
          <w:rFonts w:ascii="Segoe UI" w:eastAsia="Segoe UI" w:hAnsi="Segoe UI" w:cs="Segoe UI"/>
          <w:b w:val="0"/>
          <w:bCs w:val="0"/>
          <w:i w:val="0"/>
          <w:iCs w:val="0"/>
          <w:color w:val="000000"/>
          <w:sz w:val="16"/>
          <w:szCs w:val="16"/>
        </w:rPr>
        <w:t xml:space="preserve">4. </w:t>
      </w:r>
      <w:r>
        <w:rPr>
          <w:rFonts w:ascii="Segoe UI" w:eastAsia="Segoe UI" w:hAnsi="Segoe UI" w:cs="Segoe UI"/>
          <w:b/>
          <w:bCs/>
          <w:i w:val="0"/>
          <w:iCs w:val="0"/>
          <w:color w:val="000000"/>
          <w:sz w:val="16"/>
          <w:szCs w:val="16"/>
        </w:rPr>
        <w:t xml:space="preserve">TRABALHOS EXTERNOS AO ÓRGÃO: </w:t>
      </w:r>
      <w:r>
        <w:rPr>
          <w:rFonts w:ascii="Segoe UI" w:eastAsia="Segoe UI" w:hAnsi="Segoe UI" w:cs="Segoe UI"/>
          <w:b w:val="0"/>
          <w:bCs w:val="0"/>
          <w:i w:val="0"/>
          <w:iCs w:val="0"/>
          <w:color w:val="000000"/>
          <w:sz w:val="16"/>
          <w:szCs w:val="16"/>
        </w:rPr>
        <w:t>Servidor que necessitar realizar atividades de trabalho em outro órgão.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xml:space="preserve">OBs.:Está sendo elaborado por parte da SEGEP uma Instrução Normativa que visa estabelecer com maior detalhe os critérios para este fluxo. Vale ressaltar que no momento em que esta IN for publicada este fluxo e suas regras de negócio passarão por atualizações.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7" w:name="_Toc256000006"/>
      <w:r>
        <w:drawing>
          <wp:inline>
            <wp:extent cx="152421" cy="152421"/>
            <wp:docPr id="15645913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569674"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2. Analisar solicitação</w:t>
      </w:r>
      <w:bookmarkEnd w:id="7"/>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Solicitação analisada pelo chefe imediato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APLHA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Chefe imediato irá analisar a solicitação do servidor, podendo aprová-la ou reprová-la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2: </w:t>
      </w:r>
      <w:r>
        <w:rPr>
          <w:rFonts w:ascii="Segoe UI" w:eastAsia="Segoe UI" w:hAnsi="Segoe UI" w:cs="Segoe UI"/>
          <w:b w:val="0"/>
          <w:bCs w:val="0"/>
          <w:i w:val="0"/>
          <w:iCs w:val="0"/>
          <w:color w:val="000000"/>
          <w:sz w:val="16"/>
          <w:szCs w:val="16"/>
        </w:rPr>
        <w:t>Na situação de reprovação, será enviado uma notificação explicando o motivo para tal.</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Na situação de aprovação, será deferida a solicitação.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8" w:name="_Toc256000007"/>
      <w:r>
        <w:drawing>
          <wp:inline>
            <wp:extent cx="152421" cy="152421"/>
            <wp:docPr id="8818945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99214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3. Deferir solicitação</w:t>
      </w:r>
      <w:bookmarkEnd w:id="8"/>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Solicitação deferida.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ALPHA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Chefe imediato irá deferir a solicitação do servidor e enviará para conhecimento do RH </w:t>
      </w:r>
    </w:p>
    <w:p>
      <w:pPr>
        <w:pStyle w:val="bizHeading4"/>
      </w:pPr>
      <w:bookmarkStart w:id="9" w:name="_Toc256000008"/>
      <w:r>
        <w:drawing>
          <wp:inline>
            <wp:extent cx="152421" cy="152421"/>
            <wp:docPr id="12213578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027570"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4. Notificar servidor</w:t>
      </w:r>
      <w:bookmarkEnd w:id="9"/>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Servidor notificado referente a aprovação de sua solicitação.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ALPHA</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Chefe imediato enviará uma notificação ao servidor informando de sua liberação nos dias solicitados.</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oldModelerNormal"/>
      </w:pPr>
      <w:r>
        <w:t>Implementação</w:t>
      </w:r>
    </w:p>
    <w:p>
      <w:pPr>
        <w:pStyle w:val="ModelerNormal"/>
      </w:pPr>
      <w:r>
        <w:t>Serviço Web</w:t>
      </w:r>
    </w:p>
    <w:p>
      <w:pPr>
        <w:pStyle w:val="bizHeading4"/>
      </w:pPr>
      <w:bookmarkStart w:id="10" w:name="_Toc256000009"/>
      <w:r>
        <w:drawing>
          <wp:inline>
            <wp:extent cx="152421" cy="152421"/>
            <wp:docPr id="16092948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18055"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4. Visualizar deferimento</w:t>
      </w:r>
      <w:bookmarkEnd w:id="10"/>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RH setorial ciente da aprovação pelo chefe imediato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ALPHA</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RH visualizará o deferimento da solicitação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oldModelerNormal"/>
      </w:pPr>
      <w:r>
        <w:t>Implementação</w:t>
      </w:r>
    </w:p>
    <w:p>
      <w:pPr>
        <w:pStyle w:val="ModelerNormal"/>
      </w:pPr>
      <w:r>
        <w:t>Serviço Web</w:t>
      </w:r>
    </w:p>
    <w:p>
      <w:pPr>
        <w:pStyle w:val="bizHeading4"/>
      </w:pPr>
      <w:bookmarkStart w:id="11" w:name="_Toc256000010"/>
      <w:r>
        <w:drawing>
          <wp:inline>
            <wp:extent cx="152421" cy="152421"/>
            <wp:docPr id="1430998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34376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5. Dar ciência na notificação</w:t>
      </w:r>
      <w:bookmarkEnd w:id="11"/>
    </w:p>
    <w:p/>
    <w:p>
      <w:pPr>
        <w:pStyle w:val="BoldModelerNormal"/>
      </w:pPr>
      <w:r>
        <w:t>Descrição</w:t>
      </w:r>
    </w:p>
    <w:p>
      <w:pPr>
        <w:pStyle w:val="ModelerNormal"/>
        <w:spacing w:before="0" w:after="0" w:afterAutospacing="1"/>
        <w:ind w:left="0" w:right="0" w:firstLine="0"/>
        <w:jc w:val="left"/>
      </w:pPr>
      <w:bookmarkStart w:id="12" w:name="_dx_frag_StartFragment"/>
      <w:bookmarkEnd w:id="12"/>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Servidor ciente da aprovação de solicitação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Portal do Servidor</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Servidor visualizará uma mensagem informando que sua solicitação foi aprovada.</w:t>
      </w:r>
    </w:p>
    <w:p>
      <w:pPr>
        <w:pStyle w:val="bizHeading4"/>
      </w:pPr>
      <w:bookmarkStart w:id="13" w:name="_Toc256000011"/>
      <w:r>
        <w:drawing>
          <wp:inline>
            <wp:extent cx="152421" cy="152421"/>
            <wp:docPr id="15682491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66872" name=""/>
                    <pic:cNvPicPr>
                      <a:picLocks noChangeAspect="1"/>
                    </pic:cNvPicPr>
                  </pic:nvPicPr>
                  <pic:blipFill>
                    <a:blip xmlns:r="http://schemas.openxmlformats.org/officeDocument/2006/relationships" r:embed="rId12"/>
                    <a:stretch>
                      <a:fillRect/>
                    </a:stretch>
                  </pic:blipFill>
                  <pic:spPr>
                    <a:xfrm>
                      <a:off x="0" y="0"/>
                      <a:ext cx="152421" cy="152421"/>
                    </a:xfrm>
                    <a:prstGeom prst="rect">
                      <a:avLst/>
                    </a:prstGeom>
                  </pic:spPr>
                </pic:pic>
              </a:graphicData>
            </a:graphic>
          </wp:inline>
        </w:drawing>
      </w:r>
      <w:r>
        <w:t>6. Visualizar notificação de término do prazo</w:t>
      </w:r>
      <w:bookmarkEnd w:id="13"/>
      <w:r>
        <w:t> </w:t>
      </w:r>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Definição de pronto:</w:t>
      </w:r>
      <w:r>
        <w:rPr>
          <w:rFonts w:ascii="Segoe UI" w:eastAsia="Segoe UI" w:hAnsi="Segoe UI" w:cs="Segoe UI"/>
          <w:b w:val="0"/>
          <w:bCs w:val="0"/>
          <w:i w:val="0"/>
          <w:iCs w:val="0"/>
          <w:color w:val="000000"/>
          <w:sz w:val="16"/>
          <w:szCs w:val="16"/>
        </w:rPr>
        <w:t xml:space="preserve"> Servidor irá visualizar a notificação informando o término do prazo de envio da documentação comprobatória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 xml:space="preserve">Portal do Servidor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Servidor irá receber um alerta de que o prazo para envio da documentação comprobatória expirou.</w:t>
      </w:r>
    </w:p>
    <w:p>
      <w:pPr>
        <w:pStyle w:val="BoldModelerNormal"/>
      </w:pPr>
      <w:r>
        <w:t>Implementação</w:t>
      </w:r>
    </w:p>
    <w:p>
      <w:pPr>
        <w:pStyle w:val="ModelerNormal"/>
      </w:pPr>
      <w:r>
        <w:t>Serviço Web</w:t>
      </w:r>
    </w:p>
    <w:p>
      <w:pPr>
        <w:pStyle w:val="bizHeading4"/>
      </w:pPr>
      <w:bookmarkStart w:id="14" w:name="_Toc256000012"/>
      <w:r>
        <w:drawing>
          <wp:inline>
            <wp:extent cx="152421" cy="152421"/>
            <wp:docPr id="8110717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772902" name=""/>
                    <pic:cNvPicPr>
                      <a:picLocks noChangeAspect="1"/>
                    </pic:cNvPicPr>
                  </pic:nvPicPr>
                  <pic:blipFill>
                    <a:blip xmlns:r="http://schemas.openxmlformats.org/officeDocument/2006/relationships" r:embed="rId11"/>
                    <a:stretch>
                      <a:fillRect/>
                    </a:stretch>
                  </pic:blipFill>
                  <pic:spPr>
                    <a:xfrm>
                      <a:off x="0" y="0"/>
                      <a:ext cx="152421" cy="152421"/>
                    </a:xfrm>
                    <a:prstGeom prst="rect">
                      <a:avLst/>
                    </a:prstGeom>
                  </pic:spPr>
                </pic:pic>
              </a:graphicData>
            </a:graphic>
          </wp:inline>
        </w:drawing>
      </w:r>
      <w:r>
        <w:t>3. Notificar Servidor</w:t>
      </w:r>
      <w:bookmarkEnd w:id="14"/>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Solicitação indeferida com justificativa.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ALPHA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Chefe imediato deverá elaborar uma justificativa que será disponibilizada para visualização do servidor pelo sistema Portal do servidor.</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oldModelerNormal"/>
      </w:pPr>
      <w:r>
        <w:t>Implementação</w:t>
      </w:r>
    </w:p>
    <w:p>
      <w:pPr>
        <w:pStyle w:val="ModelerNormal"/>
      </w:pPr>
      <w:r>
        <w:t>Serviço Web</w:t>
      </w:r>
    </w:p>
    <w:p>
      <w:pPr>
        <w:pStyle w:val="bizHeading4"/>
      </w:pPr>
      <w:bookmarkStart w:id="15" w:name="_Toc256000013"/>
      <w:r>
        <w:drawing>
          <wp:inline>
            <wp:extent cx="152421" cy="152421"/>
            <wp:docPr id="17361243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423555"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4. Dar ciência na notificação</w:t>
      </w:r>
      <w:bookmarkEnd w:id="15"/>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 xml:space="preserve">Servidor ciente do indeferimento de sua solicitação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Portal do Servidor</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Servidor visualizará uma mensagem informando o porquê do indeferimento da solicitação</w:t>
      </w:r>
      <w:bookmarkStart w:id="16" w:name="_dx_frag_EndFragment"/>
      <w:bookmarkEnd w:id="16"/>
      <w:r>
        <w:rPr>
          <w:rFonts w:ascii="Segoe UI" w:eastAsia="Segoe UI" w:hAnsi="Segoe UI" w:cs="Segoe UI"/>
          <w:b w:val="0"/>
          <w:bCs w:val="0"/>
          <w:i w:val="0"/>
          <w:iCs w:val="0"/>
          <w:color w:val="000000"/>
          <w:sz w:val="16"/>
          <w:szCs w:val="16"/>
        </w:rPr>
        <w:t xml:space="preserve"> e dará ciência.</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7" w:name="_Toc256000014"/>
      <w:r>
        <w:drawing>
          <wp:inline>
            <wp:extent cx="152421" cy="152421"/>
            <wp:docPr id="20115184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14143" name=""/>
                    <pic:cNvPicPr>
                      <a:picLocks noChangeAspect="1"/>
                    </pic:cNvPicPr>
                  </pic:nvPicPr>
                  <pic:blipFill>
                    <a:blip xmlns:r="http://schemas.openxmlformats.org/officeDocument/2006/relationships" r:embed="rId13"/>
                    <a:stretch>
                      <a:fillRect/>
                    </a:stretch>
                  </pic:blipFill>
                  <pic:spPr>
                    <a:xfrm>
                      <a:off x="0" y="0"/>
                      <a:ext cx="152421" cy="152421"/>
                    </a:xfrm>
                    <a:prstGeom prst="rect">
                      <a:avLst/>
                    </a:prstGeom>
                  </pic:spPr>
                </pic:pic>
              </a:graphicData>
            </a:graphic>
          </wp:inline>
        </w:drawing>
      </w:r>
      <w:r>
        <w:t>Corrigir inconformidade</w:t>
      </w:r>
      <w:bookmarkEnd w:id="17"/>
    </w:p>
    <w:p/>
    <w:p>
      <w:pPr>
        <w:pStyle w:val="bizHeading4"/>
      </w:pPr>
      <w:bookmarkStart w:id="18" w:name="_Toc256000015"/>
      <w:r>
        <w:drawing>
          <wp:inline>
            <wp:extent cx="152421" cy="152421"/>
            <wp:docPr id="9333497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591179"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6. Anexar documento comprobatório</w:t>
      </w:r>
      <w:bookmarkEnd w:id="18"/>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Definição de pronto:</w:t>
      </w:r>
      <w:r>
        <w:rPr>
          <w:rFonts w:ascii="Segoe UI" w:eastAsia="Segoe UI" w:hAnsi="Segoe UI" w:cs="Segoe UI"/>
          <w:b w:val="0"/>
          <w:bCs w:val="0"/>
          <w:i w:val="0"/>
          <w:iCs w:val="0"/>
          <w:color w:val="000000"/>
          <w:sz w:val="16"/>
          <w:szCs w:val="16"/>
        </w:rPr>
        <w:t xml:space="preserve"> Documento comprobatório enviado.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Portal do servidor</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Enviar documento comprobatório da atividade executada até o 2º dia útil do mês subsequente a solicitação.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2:</w:t>
      </w:r>
      <w:r>
        <w:rPr>
          <w:rFonts w:ascii="Segoe UI" w:eastAsia="Segoe UI" w:hAnsi="Segoe UI" w:cs="Segoe UI"/>
          <w:b w:val="0"/>
          <w:bCs w:val="0"/>
          <w:i w:val="0"/>
          <w:iCs w:val="0"/>
          <w:color w:val="000000"/>
          <w:sz w:val="16"/>
          <w:szCs w:val="16"/>
        </w:rPr>
        <w:t xml:space="preserve"> Enviar para o RH setorial.</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19" w:name="_Toc256000016"/>
      <w:r>
        <w:drawing>
          <wp:inline>
            <wp:extent cx="152421" cy="152421"/>
            <wp:docPr id="10290082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536126"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7. Analisar documento comprobatório</w:t>
      </w:r>
      <w:bookmarkEnd w:id="19"/>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Documento comprobatório analisado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Onde:</w:t>
      </w:r>
      <w:r>
        <w:rPr>
          <w:rFonts w:ascii="Segoe UI" w:eastAsia="Segoe UI" w:hAnsi="Segoe UI" w:cs="Segoe UI"/>
          <w:b w:val="0"/>
          <w:bCs w:val="0"/>
          <w:i w:val="0"/>
          <w:iCs w:val="0"/>
          <w:color w:val="000000"/>
          <w:sz w:val="16"/>
          <w:szCs w:val="16"/>
        </w:rPr>
        <w:t xml:space="preserve"> ALPHA</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RH setorial irá analisar o documento anexado pelo servidor para que seja comprovado sua participação na atividade que foi incluída em sua solicitação. Esta análise abrirá dois caminhos:</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Solicitação indeferida: Processo voltará para que o servidor corrija o erro encontrado.</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Solicitação deferida: RH setorial fará o lançamento da ocorrência no sistema E-estado.</w:t>
      </w:r>
    </w:p>
    <w:p>
      <w:pPr>
        <w:pStyle w:val="bizHeading4"/>
      </w:pPr>
      <w:bookmarkStart w:id="20" w:name="_Toc256000017"/>
      <w:r>
        <w:drawing>
          <wp:inline>
            <wp:extent cx="152421" cy="152421"/>
            <wp:docPr id="12868281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590890"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8.  Lançar ocorrência</w:t>
      </w:r>
      <w:bookmarkEnd w:id="20"/>
      <w:r>
        <w:t> </w:t>
      </w:r>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 Definição de pronto: </w:t>
      </w:r>
      <w:r>
        <w:rPr>
          <w:rFonts w:ascii="Segoe UI" w:eastAsia="Segoe UI" w:hAnsi="Segoe UI" w:cs="Segoe UI"/>
          <w:b w:val="0"/>
          <w:bCs w:val="0"/>
          <w:i w:val="0"/>
          <w:iCs w:val="0"/>
          <w:color w:val="000000"/>
          <w:sz w:val="16"/>
          <w:szCs w:val="16"/>
        </w:rPr>
        <w:t>Análise aprovada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1:</w:t>
      </w:r>
      <w:r>
        <w:rPr>
          <w:rFonts w:ascii="Segoe UI" w:eastAsia="Segoe UI" w:hAnsi="Segoe UI" w:cs="Segoe UI"/>
          <w:b w:val="0"/>
          <w:bCs w:val="0"/>
          <w:i w:val="0"/>
          <w:iCs w:val="0"/>
          <w:color w:val="000000"/>
          <w:sz w:val="16"/>
          <w:szCs w:val="16"/>
        </w:rPr>
        <w:t xml:space="preserve"> RH setorial irá acessar o e-Estado e abonar a frequência nos dias incluídos no documento comprobatório enviado pelo servidor.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Tarefa 2:</w:t>
      </w:r>
      <w:r>
        <w:rPr>
          <w:rFonts w:ascii="Segoe UI" w:eastAsia="Segoe UI" w:hAnsi="Segoe UI" w:cs="Segoe UI"/>
          <w:b w:val="0"/>
          <w:bCs w:val="0"/>
          <w:i w:val="0"/>
          <w:iCs w:val="0"/>
          <w:color w:val="000000"/>
          <w:sz w:val="16"/>
          <w:szCs w:val="16"/>
        </w:rPr>
        <w:t xml:space="preserve"> Após o período de frequência abonada o servidor deverá voltar a exercer suas atividades normalmente e registrar seu ponto no local de trabalho.</w:t>
      </w:r>
    </w:p>
    <w:p>
      <w:pPr>
        <w:pStyle w:val="bizHeading4"/>
      </w:pPr>
      <w:bookmarkStart w:id="21" w:name="_Toc256000018"/>
      <w:r>
        <w:drawing>
          <wp:inline>
            <wp:extent cx="152421" cy="152421"/>
            <wp:docPr id="11324850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19349" name=""/>
                    <pic:cNvPicPr>
                      <a:picLocks noChangeAspect="1"/>
                    </pic:cNvPicPr>
                  </pic:nvPicPr>
                  <pic:blipFill>
                    <a:blip xmlns:r="http://schemas.openxmlformats.org/officeDocument/2006/relationships" r:embed="rId10"/>
                    <a:stretch>
                      <a:fillRect/>
                    </a:stretch>
                  </pic:blipFill>
                  <pic:spPr>
                    <a:xfrm>
                      <a:off x="0" y="0"/>
                      <a:ext cx="152421" cy="152421"/>
                    </a:xfrm>
                    <a:prstGeom prst="rect">
                      <a:avLst/>
                    </a:prstGeom>
                  </pic:spPr>
                </pic:pic>
              </a:graphicData>
            </a:graphic>
          </wp:inline>
        </w:drawing>
      </w:r>
      <w:r>
        <w:t>9. Encerrar processo</w:t>
      </w:r>
      <w:bookmarkEnd w:id="21"/>
      <w:r>
        <w:t> </w:t>
      </w:r>
    </w:p>
    <w:p/>
    <w:p>
      <w:pPr>
        <w:pStyle w:val="BoldModelerNormal"/>
      </w:pPr>
      <w:r>
        <w:t>Descrição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Definição de pronto: </w:t>
      </w:r>
      <w:r>
        <w:rPr>
          <w:rFonts w:ascii="Segoe UI" w:eastAsia="Segoe UI" w:hAnsi="Segoe UI" w:cs="Segoe UI"/>
          <w:b w:val="0"/>
          <w:bCs w:val="0"/>
          <w:i w:val="0"/>
          <w:iCs w:val="0"/>
          <w:color w:val="000000"/>
          <w:sz w:val="16"/>
          <w:szCs w:val="16"/>
        </w:rPr>
        <w:t>Encerrar processo no ALPHA</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Onde: </w:t>
      </w:r>
      <w:r>
        <w:rPr>
          <w:rFonts w:ascii="Segoe UI" w:eastAsia="Segoe UI" w:hAnsi="Segoe UI" w:cs="Segoe UI"/>
          <w:b w:val="0"/>
          <w:bCs w:val="0"/>
          <w:i w:val="0"/>
          <w:iCs w:val="0"/>
          <w:color w:val="000000"/>
          <w:sz w:val="16"/>
          <w:szCs w:val="16"/>
        </w:rPr>
        <w:t>ALPHA</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Como:</w:t>
      </w:r>
    </w:p>
    <w:p>
      <w:pPr>
        <w:pStyle w:val="ModelerNormal"/>
        <w:spacing w:before="0" w:after="0" w:afterAutospacing="1"/>
        <w:ind w:left="0" w:right="0" w:firstLine="0"/>
        <w:jc w:val="left"/>
      </w:pPr>
      <w:r>
        <w:rPr>
          <w:rFonts w:ascii="Segoe UI" w:eastAsia="Segoe UI" w:hAnsi="Segoe UI" w:cs="Segoe UI"/>
          <w:b/>
          <w:bCs/>
          <w:i w:val="0"/>
          <w:iCs w:val="0"/>
          <w:color w:val="000000"/>
          <w:sz w:val="16"/>
          <w:szCs w:val="16"/>
        </w:rPr>
        <w:t xml:space="preserve">Tarefa 1: </w:t>
      </w:r>
      <w:r>
        <w:rPr>
          <w:rFonts w:ascii="Segoe UI" w:eastAsia="Segoe UI" w:hAnsi="Segoe UI" w:cs="Segoe UI"/>
          <w:b w:val="0"/>
          <w:bCs w:val="0"/>
          <w:i w:val="0"/>
          <w:iCs w:val="0"/>
          <w:color w:val="000000"/>
          <w:sz w:val="16"/>
          <w:szCs w:val="16"/>
        </w:rPr>
        <w:t>Ao término de cada processo o RH setorial deverá dar por concluído o processo, realizando o fechamento dele no sistema ALPHA.</w:t>
      </w:r>
    </w:p>
    <w:p>
      <w:pPr>
        <w:pStyle w:val="ModelerNormal"/>
        <w:spacing w:before="0" w:after="0" w:afterAutospacing="1"/>
        <w:ind w:left="0" w:right="0" w:firstLine="0"/>
        <w:jc w:val="left"/>
      </w:pPr>
      <w:r>
        <w:rPr>
          <w:rFonts w:ascii="Segoe UI" w:eastAsia="Segoe UI" w:hAnsi="Segoe UI" w:cs="Segoe UI"/>
          <w:b w:val="0"/>
          <w:bCs w:val="0"/>
          <w:i w:val="0"/>
          <w:iCs w:val="0"/>
          <w:color w:val="000000"/>
          <w:sz w:val="16"/>
          <w:szCs w:val="16"/>
        </w:rPr>
        <w:t> </w:t>
      </w:r>
    </w:p>
    <w:p>
      <w:pPr>
        <w:pStyle w:val="bizHeading4"/>
      </w:pPr>
      <w:bookmarkStart w:id="22" w:name="_Toc256000019"/>
      <w:r>
        <w:drawing>
          <wp:inline>
            <wp:extent cx="152421" cy="152421"/>
            <wp:docPr id="20873528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8860" name=""/>
                    <pic:cNvPicPr>
                      <a:picLocks noChangeAspect="1"/>
                    </pic:cNvPicPr>
                  </pic:nvPicPr>
                  <pic:blipFill>
                    <a:blip xmlns:r="http://schemas.openxmlformats.org/officeDocument/2006/relationships" r:embed="rId14"/>
                    <a:stretch>
                      <a:fillRect/>
                    </a:stretch>
                  </pic:blipFill>
                  <pic:spPr>
                    <a:xfrm>
                      <a:off x="0" y="0"/>
                      <a:ext cx="152421" cy="152421"/>
                    </a:xfrm>
                    <a:prstGeom prst="rect">
                      <a:avLst/>
                    </a:prstGeom>
                  </pic:spPr>
                </pic:pic>
              </a:graphicData>
            </a:graphic>
          </wp:inline>
        </w:drawing>
      </w:r>
      <w:r>
        <w:t>Corrigir inconformidade</w:t>
      </w:r>
      <w:bookmarkEnd w:id="22"/>
    </w:p>
    <w:p/>
    <w:p/>
    <w:sectPr>
      <w:pgSz w:w="12240" w:h="15840"/>
      <w:pgMar w:top="1616" w:right="1701" w:bottom="1418" w:left="1701" w:header="708" w:footer="708"/>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Neo Sans Std">
    <w:panose1 w:val="020B0504030504040204"/>
    <w:charset w:val="00"/>
    <w:family w:val="swiss"/>
    <w:pitch w:val="variable"/>
    <w:sig w:usb0="800000AF" w:usb1="5000205B" w:usb2="00000000" w:usb3="00000000" w:csb0="00000001" w:csb1="00000000"/>
  </w:font>
  <w:font w:name="Aller">
    <w:altName w:val="Corbel"/>
    <w:panose1 w:val="02000503030000020004"/>
    <w:charset w:val="00"/>
    <w:family w:val="auto"/>
    <w:pitch w:val="variable"/>
    <w:sig w:usb0="00000001" w:usb1="5000205B" w:usb2="00000000" w:usb3="00000000" w:csb0="00000093" w:csb1="00000000"/>
  </w:font>
  <w:font w:name="Aller Light">
    <w:altName w:val="Corbel"/>
    <w:panose1 w:val="02000503000000020004"/>
    <w:charset w:val="00"/>
    <w:family w:val="auto"/>
    <w:pitch w:val="variable"/>
    <w:sig w:usb0="00000001" w:usb1="5000205B"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Segoe UI Semibold">
    <w:panose1 w:val="020B07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Vrinda">
    <w:panose1 w:val="00000400000000000000"/>
    <w:charset w:val="01"/>
    <w:family w:val="roman"/>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P="00F05C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B603BE" w:rsidP="00B603B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686E" w:rsidRPr="003B5308" w:rsidP="003B5308">
    <w:pPr>
      <w:pStyle w:val="Footer"/>
      <w:rPr>
        <w:i/>
        <w:iCs/>
        <w:lang w:val="es-CO"/>
      </w:rPr>
    </w:pPr>
    <w:r>
      <w:rPr>
        <w:i/>
        <w:iCs/>
        <w:noProof/>
        <w:lang w:val="es-CO" w:eastAsia="es-CO" w:bidi="bn-IN"/>
      </w:rPr>
      <w:pict>
        <v:shapetype id="_x0000_t202" coordsize="21600,21600" o:spt="202" path="m,l,21600r21600,l21600,xe">
          <v:stroke joinstyle="miter"/>
          <v:path gradientshapeok="t" o:connecttype="rect"/>
        </v:shapetype>
        <v:shape id="_x0000_s2051" type="#_x0000_t202" style="width:103.2pt;height:26.5pt;margin-top:-19.35pt;margin-left:-46.95pt;position:absolute;z-index:-251658240" stroked="f">
          <v:textbox>
            <w:txbxContent>
              <w:p w:rsidR="003B5308" w:rsidRPr="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5308">
    <w:pPr>
      <w:pStyle w:val="Footer"/>
    </w:pPr>
    <w:r>
      <w:rPr>
        <w:noProof/>
        <w:lang w:val="es-CO" w:eastAsia="es-CO" w:bidi="bn-IN"/>
      </w:rPr>
      <w:pict>
        <v:shapetype id="_x0000_t202" coordsize="21600,21600" o:spt="202" path="m,l,21600r21600,l21600,xe">
          <v:stroke joinstyle="miter"/>
          <v:path gradientshapeok="t" o:connecttype="rect"/>
        </v:shapetype>
        <v:shape id="_x0000_s2052" type="#_x0000_t202" style="width:103.2pt;height:26.5pt;margin-top:-16.45pt;margin-left:-49.65pt;position:absolute;z-index:251659264" stroked="f">
          <v:textbox>
            <w:txbxContent>
              <w:p w:rsidR="003B5308" w:rsidRPr="003B5308" w:rsidP="003B5308">
                <w:pPr>
                  <w:rPr>
                    <w:rFonts w:cs="Segoe UI"/>
                    <w:i/>
                    <w:iCs/>
                    <w:lang w:val="es-CO"/>
                  </w:rPr>
                </w:pPr>
                <w:hyperlink r:id="rId1" w:history="1">
                  <w:r w:rsidRPr="003B5308">
                    <w:rPr>
                      <w:rStyle w:val="Hyperlink"/>
                      <w:rFonts w:cs="Segoe UI"/>
                      <w:i/>
                      <w:iCs/>
                      <w:lang w:val="es-CO"/>
                    </w:rPr>
                    <w:t>www.bizagi.com</w:t>
                  </w:r>
                </w:hyperlink>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AE3ACF" w:rsidP="006A5345">
    <w:pPr>
      <w:pStyle w:val="Confidential"/>
      <w:jc w:val="center"/>
    </w:pPr>
    <w:r w:rsidR="00A50009">
      <w:t>www.bizagi.com</w:t>
    </w:r>
    <w:r w:rsidR="00463079">
      <w:t xml:space="preserve">                                          </w:t>
    </w:r>
    <w:r w:rsidR="00A50009">
      <w:t xml:space="preserve">  </w:t>
    </w:r>
    <w:r w:rsidR="00463079">
      <w:t xml:space="preserve">     </w:t>
    </w:r>
    <w:r w:rsidRPr="00463079" w:rsidR="00463079">
      <w:rPr>
        <w:sz w:val="18"/>
        <w:szCs w:val="18"/>
      </w:rPr>
      <w:t>Confidential</w:t>
    </w:r>
    <w:r w:rsidR="00463079">
      <w:t xml:space="preserve">                        </w:t>
    </w:r>
    <w:r w:rsidR="00A50009">
      <w:t xml:space="preserve">                       </w:t>
    </w:r>
    <w:r w:rsidR="00A33804">
      <w:t xml:space="preserve">               </w:t>
    </w:r>
    <w:r w:rsidRPr="00A50009" w:rsidR="00463079">
      <w:rPr>
        <w:i w:val="0"/>
        <w:iCs/>
        <w:sz w:val="18"/>
        <w:szCs w:val="18"/>
      </w:rPr>
      <w:t xml:space="preserve">| </w:t>
    </w:r>
    <w:r w:rsidRPr="00A50009" w:rsidR="00463079">
      <w:rPr>
        <w:i w:val="0"/>
        <w:iCs/>
        <w:sz w:val="18"/>
        <w:szCs w:val="18"/>
      </w:rPr>
      <w:fldChar w:fldCharType="begin"/>
    </w:r>
    <w:r w:rsidRPr="00A50009" w:rsidR="00463079">
      <w:rPr>
        <w:i w:val="0"/>
        <w:iCs/>
        <w:sz w:val="18"/>
        <w:szCs w:val="18"/>
      </w:rPr>
      <w:instrText xml:space="preserve"> PAGE   \* MERGEFORMAT </w:instrText>
    </w:r>
    <w:r w:rsidRPr="00A50009" w:rsidR="00463079">
      <w:rPr>
        <w:i w:val="0"/>
        <w:iCs/>
        <w:sz w:val="18"/>
        <w:szCs w:val="18"/>
      </w:rPr>
      <w:fldChar w:fldCharType="separate"/>
    </w:r>
    <w:r w:rsidR="00032CAE">
      <w:rPr>
        <w:i w:val="0"/>
        <w:iCs/>
        <w:noProof/>
        <w:sz w:val="18"/>
        <w:szCs w:val="18"/>
      </w:rPr>
      <w:t>10</w:t>
    </w:r>
    <w:r w:rsidRPr="00A50009" w:rsidR="00463079">
      <w:rPr>
        <w:i w:val="0"/>
        <w:iCs/>
        <w:noProof/>
        <w:sz w:val="18"/>
        <w:szCs w:val="18"/>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rsidP="00275F9A">
    <w:pPr>
      <w:pStyle w:val="Header"/>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2049" type="#_x0000_t75" style="width:602.95pt;height:432.85pt;margin-top:-35.25pt;margin-left:-84.45pt;mso-height-relative:margin;mso-width-relative:margin;position:absolute;visibility:visible;z-index:-251655168" filled="f" stroked="f">
          <v:imagedata r:id="rId1" o:title=""/>
          <o:lock v:ext="edit" aspectratio="t"/>
        </v:shape>
      </w:pict>
    </w:r>
    <w:r>
      <w:pict>
        <v:shape id="Picture 1" o:spid="_x0000_i2050" type="#_x0000_t75" style="width:168.26pt;height:62.21pt;visibility:visible" o:allowoverlap="f" filled="f" stroked="f">
          <v:imagedata r:id="rId2" o:title=""/>
          <o:lock v:ext="edit" aspectratio="t"/>
        </v:shape>
      </w:pict>
    </w:r>
  </w:p>
  <w:p w:rsidR="00275F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F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BE" w:rsidRPr="00B603BE">
    <w:pPr>
      <w:pStyle w:val="Header"/>
      <w:rPr>
        <w:lang w:val="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2053" type="#_x0000_t75" style="width:96.67pt;height:35.7pt;mso-height-relative:margin;mso-width-relative:margin;visibility:visible" o:allowoverlap="f" filled="f" stroked="f">
          <v:imagedata r:id="rId1" o:title=""/>
          <o:lock v:ext="edit" aspectratio="t"/>
        </v:shape>
      </w:pict>
    </w:r>
    <w:r w:rsidRPr="00B603BE">
      <w:rPr>
        <w:rFonts w:ascii="Tahoma" w:hAnsi="Tahoma" w:cs="Tahoma"/>
        <w:b/>
        <w:color w:val="C0C0C0"/>
        <w:spacing w:val="140"/>
        <w:sz w:val="22"/>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1EE" w:rsidP="001B21EE">
    <w:pPr>
      <w:pStyle w:val="Header"/>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54" type="#_x0000_t75" style="width:125.48pt;height:45.72pt" stroked="f">
          <v:imagedata r:id="rId1" o:title="bizagiLogo"/>
        </v:shape>
      </w:pict>
    </w:r>
  </w:p>
  <w:p w:rsidR="00275F9A">
    <w:pPr>
      <w:pStyle w:val="Header"/>
    </w:pPr>
    <w:r>
      <w:rPr>
        <w:noProof/>
      </w:rPr>
      <w:pict>
        <v:shape id="_x0000_s2055" type="#_x0000_t75" style="width:376.3pt;height:534.55pt;margin-top:151.95pt;margin-left:-85.4pt;mso-position-horizontal-relative:margin;mso-position-vertical-relative:margin;position:absolute;z-index:-251656192" stroked="f">
          <v:imagedata r:id="rId2" o:title="originalBizagiBackground"/>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D60A4"/>
    <w:multiLevelType w:val="multilevel"/>
    <w:tmpl w:val="D42ACEBE"/>
    <w:numStyleLink w:val="Headings"/>
  </w:abstractNum>
  <w:abstractNum w:abstractNumId="1">
    <w:nsid w:val="0A13321D"/>
    <w:multiLevelType w:val="multilevel"/>
    <w:tmpl w:val="C4520BEC"/>
    <w:lvl w:ilvl="0">
      <w:start w:val="1"/>
      <w:numFmt w:val="decimal"/>
      <w:pStyle w:val="bizHeading1"/>
      <w:lvlText w:val="%1"/>
      <w:lvlJc w:val="left"/>
      <w:pPr>
        <w:tabs>
          <w:tab w:val="num" w:pos="936"/>
        </w:tabs>
        <w:ind w:left="936" w:hanging="432"/>
      </w:pPr>
      <w:rPr>
        <w:rFonts w:hint="default"/>
      </w:rPr>
    </w:lvl>
    <w:lvl w:ilvl="1">
      <w:start w:val="1"/>
      <w:numFmt w:val="decimal"/>
      <w:pStyle w:val="bizHeading2"/>
      <w:lvlText w:val="%1.%2"/>
      <w:lvlJc w:val="left"/>
      <w:pPr>
        <w:tabs>
          <w:tab w:val="num" w:pos="1080"/>
        </w:tabs>
        <w:ind w:left="1080" w:hanging="576"/>
      </w:pPr>
      <w:rPr>
        <w:rFonts w:hint="default"/>
      </w:rPr>
    </w:lvl>
    <w:lvl w:ilvl="2">
      <w:start w:val="1"/>
      <w:numFmt w:val="decimal"/>
      <w:pStyle w:val="bizHeading3"/>
      <w:lvlText w:val="%1.%2.%3"/>
      <w:lvlJc w:val="left"/>
      <w:pPr>
        <w:tabs>
          <w:tab w:val="num" w:pos="1224"/>
        </w:tabs>
        <w:ind w:left="1224" w:hanging="720"/>
      </w:pPr>
      <w:rPr>
        <w:rFonts w:hint="default"/>
      </w:rPr>
    </w:lvl>
    <w:lvl w:ilvl="3">
      <w:start w:val="1"/>
      <w:numFmt w:val="decimal"/>
      <w:pStyle w:val="bizHeading4"/>
      <w:lvlText w:val="%1.%2.%3.%4"/>
      <w:lvlJc w:val="left"/>
      <w:pPr>
        <w:tabs>
          <w:tab w:val="num" w:pos="1368"/>
        </w:tabs>
        <w:ind w:left="1368" w:hanging="864"/>
      </w:pPr>
      <w:rPr>
        <w:rFonts w:hint="default"/>
        <w:b/>
        <w:i w:val="0"/>
        <w:sz w:val="20"/>
        <w:szCs w:val="20"/>
      </w:rPr>
    </w:lvl>
    <w:lvl w:ilvl="4">
      <w:start w:val="1"/>
      <w:numFmt w:val="decimal"/>
      <w:pStyle w:val="bizHeading5"/>
      <w:lvlText w:val="%1.%2.%3.%4.%5"/>
      <w:lvlJc w:val="left"/>
      <w:pPr>
        <w:tabs>
          <w:tab w:val="num" w:pos="1512"/>
        </w:tabs>
        <w:ind w:left="1512" w:hanging="1008"/>
      </w:pPr>
      <w:rPr>
        <w:rFonts w:hint="default"/>
      </w:rPr>
    </w:lvl>
    <w:lvl w:ilvl="5">
      <w:start w:val="1"/>
      <w:numFmt w:val="decimal"/>
      <w:pStyle w:val="Heading6"/>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nsid w:val="298877DF"/>
    <w:multiLevelType w:val="hybridMultilevel"/>
    <w:tmpl w:val="2FF64D5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3C194FAE"/>
    <w:multiLevelType w:val="multilevel"/>
    <w:tmpl w:val="D42ACEBE"/>
    <w:numStyleLink w:val="Headings"/>
  </w:abstractNum>
  <w:abstractNum w:abstractNumId="4">
    <w:nsid w:val="44B055A6"/>
    <w:multiLevelType w:val="multilevel"/>
    <w:tmpl w:val="D42ACEBE"/>
    <w:numStyleLink w:val="Headings"/>
  </w:abstractNum>
  <w:abstractNum w:abstractNumId="5">
    <w:nsid w:val="4ACB189B"/>
    <w:multiLevelType w:val="multilevel"/>
    <w:tmpl w:val="35E627E4"/>
    <w:styleLink w:val="Headings"/>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360" w:hanging="360"/>
      </w:pPr>
      <w:rPr>
        <w:rFonts w:hint="default"/>
      </w:rPr>
    </w:lvl>
    <w:lvl w:ilvl="5">
      <w:start w:val="1"/>
      <w:numFmt w:val="decimal"/>
      <w:lvlText w:val="%1.%2.%3.%4.%5.%6"/>
      <w:lvlJc w:val="left"/>
      <w:pPr>
        <w:ind w:left="360" w:hanging="360"/>
      </w:pPr>
      <w:rPr>
        <w:rFonts w:hint="default"/>
      </w:rPr>
    </w:lvl>
    <w:lvl w:ilvl="6">
      <w:start w:val="1"/>
      <w:numFmt w:val="decimal"/>
      <w:lvlText w:val="%1.%2.%3.%4.%5.%6.%7"/>
      <w:lvlJc w:val="left"/>
      <w:pPr>
        <w:ind w:left="360" w:hanging="360"/>
      </w:pPr>
      <w:rPr>
        <w:rFonts w:hint="default"/>
      </w:rPr>
    </w:lvl>
    <w:lvl w:ilvl="7">
      <w:start w:val="1"/>
      <w:numFmt w:val="decimal"/>
      <w:lvlText w:val="%1.%2.%3.%4.%5.%6.%7.%8"/>
      <w:lvlJc w:val="left"/>
      <w:pPr>
        <w:ind w:left="360" w:hanging="360"/>
      </w:pPr>
      <w:rPr>
        <w:rFonts w:hint="default"/>
      </w:rPr>
    </w:lvl>
    <w:lvl w:ilvl="8">
      <w:start w:val="1"/>
      <w:numFmt w:val="decimal"/>
      <w:lvlText w:val="%1.%2.%3.%4.%5.%6.%7.%8.%9"/>
      <w:lvlJc w:val="left"/>
      <w:pPr>
        <w:ind w:left="360" w:hanging="360"/>
      </w:pPr>
      <w:rPr>
        <w:rFonts w:hint="default"/>
      </w:rPr>
    </w:lvl>
  </w:abstractNum>
  <w:abstractNum w:abstractNumId="6">
    <w:nsid w:val="4BE02392"/>
    <w:multiLevelType w:val="multilevel"/>
    <w:tmpl w:val="9B52074E"/>
    <w:numStyleLink w:val="Headings"/>
  </w:abstractNum>
  <w:abstractNum w:abstractNumId="7">
    <w:nsid w:val="681C5AA5"/>
    <w:multiLevelType w:val="multilevel"/>
    <w:tmpl w:val="35E627E4"/>
    <w:numStyleLink w:val="Headings"/>
  </w:abstractNum>
  <w:abstractNum w:abstractNumId="8">
    <w:nsid w:val="6A411E3C"/>
    <w:multiLevelType w:val="multilevel"/>
    <w:tmpl w:val="0F742404"/>
    <w:styleLink w:val="Lista"/>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
    <w:nsid w:val="6BAF63F9"/>
    <w:multiLevelType w:val="hybridMultilevel"/>
    <w:tmpl w:val="0BAADF2C"/>
    <w:lvl w:ilvl="0">
      <w:start w:val="1"/>
      <w:numFmt w:val="decimal"/>
      <w:pStyle w:val="bizHeadingBAS1"/>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EC1314F"/>
    <w:multiLevelType w:val="hybridMultilevel"/>
    <w:tmpl w:val="0F64E4CC"/>
    <w:lvl w:ilvl="0">
      <w:start w:val="1"/>
      <w:numFmt w:val="bullet"/>
      <w:pStyle w:val="ListBullet"/>
      <w:lvlText w:val=""/>
      <w:lvlJc w:val="left"/>
      <w:pPr>
        <w:tabs>
          <w:tab w:val="num" w:pos="144"/>
        </w:tabs>
        <w:ind w:left="288" w:hanging="288"/>
      </w:pPr>
      <w:rPr>
        <w:rFonts w:ascii="Symbol" w:hAnsi="Symbol" w:hint="default"/>
        <w:sz w:val="16"/>
        <w:szCs w:val="16"/>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9"/>
  </w:num>
  <w:num w:numId="3">
    <w:abstractNumId w:val="10"/>
  </w:num>
  <w:num w:numId="4">
    <w:abstractNumId w:val="1"/>
  </w:num>
  <w:num w:numId="5">
    <w:abstractNumId w:val="5"/>
  </w:num>
  <w:num w:numId="6">
    <w:abstractNumId w:val="0"/>
  </w:num>
  <w:num w:numId="7">
    <w:abstractNumId w:val="3"/>
  </w:num>
  <w:num w:numId="8">
    <w:abstractNumId w:val="4"/>
  </w:num>
  <w:num w:numId="9">
    <w:abstractNumId w:val="6"/>
  </w:num>
  <w:num w:numId="10">
    <w:abstractNumId w:val="7"/>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405D"/>
    <w:rsid w:val="000007FB"/>
    <w:rsid w:val="00000F1B"/>
    <w:rsid w:val="00003A15"/>
    <w:rsid w:val="00003D77"/>
    <w:rsid w:val="000074F6"/>
    <w:rsid w:val="00007736"/>
    <w:rsid w:val="00012BBE"/>
    <w:rsid w:val="00014F7C"/>
    <w:rsid w:val="00015341"/>
    <w:rsid w:val="00015ACC"/>
    <w:rsid w:val="00021707"/>
    <w:rsid w:val="0002310C"/>
    <w:rsid w:val="00025BD9"/>
    <w:rsid w:val="0003100E"/>
    <w:rsid w:val="00031F20"/>
    <w:rsid w:val="00032CAE"/>
    <w:rsid w:val="000400C4"/>
    <w:rsid w:val="00056796"/>
    <w:rsid w:val="000606FF"/>
    <w:rsid w:val="00062727"/>
    <w:rsid w:val="00064038"/>
    <w:rsid w:val="00071488"/>
    <w:rsid w:val="000734DA"/>
    <w:rsid w:val="00074D42"/>
    <w:rsid w:val="00074E36"/>
    <w:rsid w:val="000774A1"/>
    <w:rsid w:val="00084110"/>
    <w:rsid w:val="0008686E"/>
    <w:rsid w:val="00086D30"/>
    <w:rsid w:val="0008735C"/>
    <w:rsid w:val="00091358"/>
    <w:rsid w:val="000961EB"/>
    <w:rsid w:val="00097384"/>
    <w:rsid w:val="000B26D6"/>
    <w:rsid w:val="000B2900"/>
    <w:rsid w:val="000B4982"/>
    <w:rsid w:val="000B5018"/>
    <w:rsid w:val="000D0F74"/>
    <w:rsid w:val="000D2ECA"/>
    <w:rsid w:val="000D74E2"/>
    <w:rsid w:val="000E1245"/>
    <w:rsid w:val="000E1F68"/>
    <w:rsid w:val="000E2E00"/>
    <w:rsid w:val="000E4853"/>
    <w:rsid w:val="000E4AD1"/>
    <w:rsid w:val="000F0F39"/>
    <w:rsid w:val="000F5064"/>
    <w:rsid w:val="000F5CBC"/>
    <w:rsid w:val="00105188"/>
    <w:rsid w:val="00105811"/>
    <w:rsid w:val="00107B4C"/>
    <w:rsid w:val="00115201"/>
    <w:rsid w:val="0011555F"/>
    <w:rsid w:val="001244D0"/>
    <w:rsid w:val="00133DB2"/>
    <w:rsid w:val="0014099E"/>
    <w:rsid w:val="0014184E"/>
    <w:rsid w:val="001442E7"/>
    <w:rsid w:val="00146FD2"/>
    <w:rsid w:val="00152EF1"/>
    <w:rsid w:val="00153542"/>
    <w:rsid w:val="00153CDC"/>
    <w:rsid w:val="00154FD3"/>
    <w:rsid w:val="001572C1"/>
    <w:rsid w:val="00160AE1"/>
    <w:rsid w:val="00161BEE"/>
    <w:rsid w:val="001631E2"/>
    <w:rsid w:val="00163F1C"/>
    <w:rsid w:val="00165BDD"/>
    <w:rsid w:val="00167DB2"/>
    <w:rsid w:val="00170E80"/>
    <w:rsid w:val="001745B2"/>
    <w:rsid w:val="00175724"/>
    <w:rsid w:val="00184ACA"/>
    <w:rsid w:val="0018567E"/>
    <w:rsid w:val="001860BF"/>
    <w:rsid w:val="001911EC"/>
    <w:rsid w:val="001967F0"/>
    <w:rsid w:val="001A0D60"/>
    <w:rsid w:val="001A3D5B"/>
    <w:rsid w:val="001B21EE"/>
    <w:rsid w:val="001C22BE"/>
    <w:rsid w:val="001C251F"/>
    <w:rsid w:val="001D77FC"/>
    <w:rsid w:val="001E527D"/>
    <w:rsid w:val="001E5639"/>
    <w:rsid w:val="001F3B82"/>
    <w:rsid w:val="001F5161"/>
    <w:rsid w:val="001F5727"/>
    <w:rsid w:val="00203170"/>
    <w:rsid w:val="00213E7F"/>
    <w:rsid w:val="0021548A"/>
    <w:rsid w:val="002313AF"/>
    <w:rsid w:val="002431E4"/>
    <w:rsid w:val="00245ACB"/>
    <w:rsid w:val="00245B5B"/>
    <w:rsid w:val="0024677B"/>
    <w:rsid w:val="002501A6"/>
    <w:rsid w:val="0025587E"/>
    <w:rsid w:val="00270F07"/>
    <w:rsid w:val="002732D9"/>
    <w:rsid w:val="0027569B"/>
    <w:rsid w:val="00275F9A"/>
    <w:rsid w:val="002945BF"/>
    <w:rsid w:val="002A1FD5"/>
    <w:rsid w:val="002A3185"/>
    <w:rsid w:val="002B3EFE"/>
    <w:rsid w:val="002B65BB"/>
    <w:rsid w:val="002B7464"/>
    <w:rsid w:val="002B7F64"/>
    <w:rsid w:val="002C4B5D"/>
    <w:rsid w:val="002C6201"/>
    <w:rsid w:val="002D20E4"/>
    <w:rsid w:val="002D6001"/>
    <w:rsid w:val="002D673C"/>
    <w:rsid w:val="002E0F27"/>
    <w:rsid w:val="002E7C7C"/>
    <w:rsid w:val="002F0FB6"/>
    <w:rsid w:val="00305B53"/>
    <w:rsid w:val="00312616"/>
    <w:rsid w:val="003201C8"/>
    <w:rsid w:val="003247EA"/>
    <w:rsid w:val="003263B4"/>
    <w:rsid w:val="00326B56"/>
    <w:rsid w:val="00326F94"/>
    <w:rsid w:val="00330E4C"/>
    <w:rsid w:val="00331169"/>
    <w:rsid w:val="0033261A"/>
    <w:rsid w:val="0033264A"/>
    <w:rsid w:val="00333651"/>
    <w:rsid w:val="00333A43"/>
    <w:rsid w:val="00334236"/>
    <w:rsid w:val="00342534"/>
    <w:rsid w:val="0034294D"/>
    <w:rsid w:val="00344C90"/>
    <w:rsid w:val="00344F17"/>
    <w:rsid w:val="00345DA2"/>
    <w:rsid w:val="00353FC8"/>
    <w:rsid w:val="00362E19"/>
    <w:rsid w:val="0036453B"/>
    <w:rsid w:val="00364B15"/>
    <w:rsid w:val="003715DB"/>
    <w:rsid w:val="00372ED7"/>
    <w:rsid w:val="00376C9A"/>
    <w:rsid w:val="00382F51"/>
    <w:rsid w:val="00384D6B"/>
    <w:rsid w:val="003859E7"/>
    <w:rsid w:val="00393D40"/>
    <w:rsid w:val="003A26CF"/>
    <w:rsid w:val="003A6EDD"/>
    <w:rsid w:val="003B5308"/>
    <w:rsid w:val="003C1C42"/>
    <w:rsid w:val="003D32DA"/>
    <w:rsid w:val="003D699F"/>
    <w:rsid w:val="003D7DE5"/>
    <w:rsid w:val="003E0728"/>
    <w:rsid w:val="003E28A5"/>
    <w:rsid w:val="003E48D4"/>
    <w:rsid w:val="003E5F9A"/>
    <w:rsid w:val="003E7AC4"/>
    <w:rsid w:val="003F36E3"/>
    <w:rsid w:val="0040021E"/>
    <w:rsid w:val="00402100"/>
    <w:rsid w:val="00402D66"/>
    <w:rsid w:val="00414DCE"/>
    <w:rsid w:val="00422C9A"/>
    <w:rsid w:val="004255C7"/>
    <w:rsid w:val="00425E09"/>
    <w:rsid w:val="0043331B"/>
    <w:rsid w:val="00440553"/>
    <w:rsid w:val="00443780"/>
    <w:rsid w:val="00445EDC"/>
    <w:rsid w:val="00447241"/>
    <w:rsid w:val="004478F1"/>
    <w:rsid w:val="00447FB2"/>
    <w:rsid w:val="00450B29"/>
    <w:rsid w:val="00451BB4"/>
    <w:rsid w:val="00456DF1"/>
    <w:rsid w:val="00463079"/>
    <w:rsid w:val="00463FAD"/>
    <w:rsid w:val="00473639"/>
    <w:rsid w:val="0048085A"/>
    <w:rsid w:val="00483741"/>
    <w:rsid w:val="00490365"/>
    <w:rsid w:val="00494A66"/>
    <w:rsid w:val="00497467"/>
    <w:rsid w:val="004A338C"/>
    <w:rsid w:val="004A4250"/>
    <w:rsid w:val="004A5B6B"/>
    <w:rsid w:val="004A7AA5"/>
    <w:rsid w:val="004B411D"/>
    <w:rsid w:val="004B66E5"/>
    <w:rsid w:val="004B6FAB"/>
    <w:rsid w:val="004C1A63"/>
    <w:rsid w:val="004C1B4C"/>
    <w:rsid w:val="004C2A9C"/>
    <w:rsid w:val="004C30E2"/>
    <w:rsid w:val="004C536F"/>
    <w:rsid w:val="004D16DF"/>
    <w:rsid w:val="004D7B3B"/>
    <w:rsid w:val="004F1444"/>
    <w:rsid w:val="004F48B3"/>
    <w:rsid w:val="00500120"/>
    <w:rsid w:val="005012CE"/>
    <w:rsid w:val="00503EE8"/>
    <w:rsid w:val="00503FF1"/>
    <w:rsid w:val="00507477"/>
    <w:rsid w:val="00527129"/>
    <w:rsid w:val="00534239"/>
    <w:rsid w:val="0053486F"/>
    <w:rsid w:val="00535E45"/>
    <w:rsid w:val="00540156"/>
    <w:rsid w:val="005402E4"/>
    <w:rsid w:val="005529B3"/>
    <w:rsid w:val="00554DC9"/>
    <w:rsid w:val="005624B2"/>
    <w:rsid w:val="00562BBE"/>
    <w:rsid w:val="005640C6"/>
    <w:rsid w:val="005676E5"/>
    <w:rsid w:val="00572CD1"/>
    <w:rsid w:val="00574F23"/>
    <w:rsid w:val="00576752"/>
    <w:rsid w:val="005868D8"/>
    <w:rsid w:val="00587ADF"/>
    <w:rsid w:val="00591299"/>
    <w:rsid w:val="00591489"/>
    <w:rsid w:val="005A5202"/>
    <w:rsid w:val="005A70BD"/>
    <w:rsid w:val="005B1D20"/>
    <w:rsid w:val="005B230C"/>
    <w:rsid w:val="005D0836"/>
    <w:rsid w:val="005D0FE7"/>
    <w:rsid w:val="005D720A"/>
    <w:rsid w:val="005E21A4"/>
    <w:rsid w:val="005E31F9"/>
    <w:rsid w:val="005F3913"/>
    <w:rsid w:val="005F3E2D"/>
    <w:rsid w:val="005F683B"/>
    <w:rsid w:val="005F6D8C"/>
    <w:rsid w:val="00603E0F"/>
    <w:rsid w:val="0060571A"/>
    <w:rsid w:val="006128B8"/>
    <w:rsid w:val="00613750"/>
    <w:rsid w:val="006258E4"/>
    <w:rsid w:val="00630DDB"/>
    <w:rsid w:val="00636FCF"/>
    <w:rsid w:val="006406AE"/>
    <w:rsid w:val="006439D7"/>
    <w:rsid w:val="00645AD4"/>
    <w:rsid w:val="00646A59"/>
    <w:rsid w:val="006478FA"/>
    <w:rsid w:val="0066431A"/>
    <w:rsid w:val="00670E18"/>
    <w:rsid w:val="006726D2"/>
    <w:rsid w:val="00673AA0"/>
    <w:rsid w:val="00680CF5"/>
    <w:rsid w:val="00682B73"/>
    <w:rsid w:val="00682EC2"/>
    <w:rsid w:val="006871AC"/>
    <w:rsid w:val="00692B0C"/>
    <w:rsid w:val="0069526B"/>
    <w:rsid w:val="006958E0"/>
    <w:rsid w:val="0069770B"/>
    <w:rsid w:val="006A01F4"/>
    <w:rsid w:val="006A5345"/>
    <w:rsid w:val="006B0908"/>
    <w:rsid w:val="006C2187"/>
    <w:rsid w:val="006C5BC9"/>
    <w:rsid w:val="006E0689"/>
    <w:rsid w:val="006E2B36"/>
    <w:rsid w:val="006F44CE"/>
    <w:rsid w:val="006F6461"/>
    <w:rsid w:val="00703508"/>
    <w:rsid w:val="0070473B"/>
    <w:rsid w:val="0070512E"/>
    <w:rsid w:val="00705381"/>
    <w:rsid w:val="007056B0"/>
    <w:rsid w:val="00711AA1"/>
    <w:rsid w:val="00714B19"/>
    <w:rsid w:val="00722BDE"/>
    <w:rsid w:val="00734243"/>
    <w:rsid w:val="00743611"/>
    <w:rsid w:val="00753E90"/>
    <w:rsid w:val="00773DEB"/>
    <w:rsid w:val="007741DF"/>
    <w:rsid w:val="00774636"/>
    <w:rsid w:val="00781243"/>
    <w:rsid w:val="0078732B"/>
    <w:rsid w:val="00787DA9"/>
    <w:rsid w:val="00787E0A"/>
    <w:rsid w:val="007914C6"/>
    <w:rsid w:val="007A2CFF"/>
    <w:rsid w:val="007B3313"/>
    <w:rsid w:val="007B663B"/>
    <w:rsid w:val="007C4D01"/>
    <w:rsid w:val="007C5A5C"/>
    <w:rsid w:val="007D4C61"/>
    <w:rsid w:val="007D63D4"/>
    <w:rsid w:val="007E50A6"/>
    <w:rsid w:val="007E7B92"/>
    <w:rsid w:val="007F20AE"/>
    <w:rsid w:val="007F5560"/>
    <w:rsid w:val="00803056"/>
    <w:rsid w:val="00805CF9"/>
    <w:rsid w:val="00810B05"/>
    <w:rsid w:val="00820B48"/>
    <w:rsid w:val="00823735"/>
    <w:rsid w:val="00823FEB"/>
    <w:rsid w:val="008261D1"/>
    <w:rsid w:val="0082646C"/>
    <w:rsid w:val="00830C0D"/>
    <w:rsid w:val="0083534E"/>
    <w:rsid w:val="00840511"/>
    <w:rsid w:val="008416BE"/>
    <w:rsid w:val="008426A8"/>
    <w:rsid w:val="00843316"/>
    <w:rsid w:val="00846E73"/>
    <w:rsid w:val="00854218"/>
    <w:rsid w:val="008606E1"/>
    <w:rsid w:val="00862648"/>
    <w:rsid w:val="00865284"/>
    <w:rsid w:val="00876E5D"/>
    <w:rsid w:val="00885444"/>
    <w:rsid w:val="00885706"/>
    <w:rsid w:val="008869C4"/>
    <w:rsid w:val="00890369"/>
    <w:rsid w:val="00891880"/>
    <w:rsid w:val="00897789"/>
    <w:rsid w:val="008A015E"/>
    <w:rsid w:val="008A06D1"/>
    <w:rsid w:val="008B0CB5"/>
    <w:rsid w:val="008B780C"/>
    <w:rsid w:val="008C074A"/>
    <w:rsid w:val="008C2240"/>
    <w:rsid w:val="008C2CEA"/>
    <w:rsid w:val="008C6778"/>
    <w:rsid w:val="008D2D31"/>
    <w:rsid w:val="008D537D"/>
    <w:rsid w:val="008D7250"/>
    <w:rsid w:val="008E1BD1"/>
    <w:rsid w:val="008F524D"/>
    <w:rsid w:val="008F5647"/>
    <w:rsid w:val="00913444"/>
    <w:rsid w:val="00914BC2"/>
    <w:rsid w:val="00923871"/>
    <w:rsid w:val="00931B93"/>
    <w:rsid w:val="0093251F"/>
    <w:rsid w:val="00933901"/>
    <w:rsid w:val="009360A9"/>
    <w:rsid w:val="00943A19"/>
    <w:rsid w:val="00953102"/>
    <w:rsid w:val="009532B2"/>
    <w:rsid w:val="00955DC1"/>
    <w:rsid w:val="0097351B"/>
    <w:rsid w:val="00974798"/>
    <w:rsid w:val="00983916"/>
    <w:rsid w:val="00984E7D"/>
    <w:rsid w:val="009854E2"/>
    <w:rsid w:val="00986AFA"/>
    <w:rsid w:val="00995FDF"/>
    <w:rsid w:val="009A4204"/>
    <w:rsid w:val="009A6F62"/>
    <w:rsid w:val="009B7DFE"/>
    <w:rsid w:val="009C06B5"/>
    <w:rsid w:val="009C1220"/>
    <w:rsid w:val="009C2C93"/>
    <w:rsid w:val="009C5494"/>
    <w:rsid w:val="009C72BB"/>
    <w:rsid w:val="009F1800"/>
    <w:rsid w:val="009F5920"/>
    <w:rsid w:val="009F7A0D"/>
    <w:rsid w:val="00A07A8E"/>
    <w:rsid w:val="00A07FA6"/>
    <w:rsid w:val="00A13634"/>
    <w:rsid w:val="00A2192D"/>
    <w:rsid w:val="00A221E1"/>
    <w:rsid w:val="00A262B2"/>
    <w:rsid w:val="00A33804"/>
    <w:rsid w:val="00A363ED"/>
    <w:rsid w:val="00A374BC"/>
    <w:rsid w:val="00A40C1F"/>
    <w:rsid w:val="00A47B9C"/>
    <w:rsid w:val="00A50009"/>
    <w:rsid w:val="00A50CAC"/>
    <w:rsid w:val="00A52BFA"/>
    <w:rsid w:val="00A55D18"/>
    <w:rsid w:val="00A576B2"/>
    <w:rsid w:val="00A6077A"/>
    <w:rsid w:val="00A61739"/>
    <w:rsid w:val="00A65310"/>
    <w:rsid w:val="00A66741"/>
    <w:rsid w:val="00A6763D"/>
    <w:rsid w:val="00A74F07"/>
    <w:rsid w:val="00A8200B"/>
    <w:rsid w:val="00A8255E"/>
    <w:rsid w:val="00A85F1E"/>
    <w:rsid w:val="00A87182"/>
    <w:rsid w:val="00A9061A"/>
    <w:rsid w:val="00A919BB"/>
    <w:rsid w:val="00A9206B"/>
    <w:rsid w:val="00A9312C"/>
    <w:rsid w:val="00A93B0A"/>
    <w:rsid w:val="00A9667F"/>
    <w:rsid w:val="00AA11B9"/>
    <w:rsid w:val="00AA2266"/>
    <w:rsid w:val="00AA5EEB"/>
    <w:rsid w:val="00AB17F0"/>
    <w:rsid w:val="00AB2CF3"/>
    <w:rsid w:val="00AB2F59"/>
    <w:rsid w:val="00AB621F"/>
    <w:rsid w:val="00AC0BD3"/>
    <w:rsid w:val="00AC14E6"/>
    <w:rsid w:val="00AC1C30"/>
    <w:rsid w:val="00AC3C64"/>
    <w:rsid w:val="00AC49CB"/>
    <w:rsid w:val="00AC4FAE"/>
    <w:rsid w:val="00AC5F01"/>
    <w:rsid w:val="00AD2B07"/>
    <w:rsid w:val="00AD7061"/>
    <w:rsid w:val="00AE1DA8"/>
    <w:rsid w:val="00AE2294"/>
    <w:rsid w:val="00AE2D90"/>
    <w:rsid w:val="00AE3ACF"/>
    <w:rsid w:val="00AF0F8A"/>
    <w:rsid w:val="00AF405D"/>
    <w:rsid w:val="00B040C4"/>
    <w:rsid w:val="00B0626C"/>
    <w:rsid w:val="00B117B7"/>
    <w:rsid w:val="00B1222D"/>
    <w:rsid w:val="00B1429E"/>
    <w:rsid w:val="00B16DFD"/>
    <w:rsid w:val="00B22967"/>
    <w:rsid w:val="00B23D9C"/>
    <w:rsid w:val="00B33A67"/>
    <w:rsid w:val="00B3418D"/>
    <w:rsid w:val="00B36D0B"/>
    <w:rsid w:val="00B3758D"/>
    <w:rsid w:val="00B452F9"/>
    <w:rsid w:val="00B51285"/>
    <w:rsid w:val="00B531D8"/>
    <w:rsid w:val="00B54298"/>
    <w:rsid w:val="00B603BE"/>
    <w:rsid w:val="00B6080A"/>
    <w:rsid w:val="00B679EC"/>
    <w:rsid w:val="00B76981"/>
    <w:rsid w:val="00B83DCF"/>
    <w:rsid w:val="00B87B02"/>
    <w:rsid w:val="00B97928"/>
    <w:rsid w:val="00BC1CCA"/>
    <w:rsid w:val="00BC2FC0"/>
    <w:rsid w:val="00BC3029"/>
    <w:rsid w:val="00BC532D"/>
    <w:rsid w:val="00BD71BF"/>
    <w:rsid w:val="00BE42AC"/>
    <w:rsid w:val="00BE7281"/>
    <w:rsid w:val="00BF1BBD"/>
    <w:rsid w:val="00C02ED2"/>
    <w:rsid w:val="00C239E1"/>
    <w:rsid w:val="00C30B19"/>
    <w:rsid w:val="00C3181A"/>
    <w:rsid w:val="00C357F7"/>
    <w:rsid w:val="00C43BBD"/>
    <w:rsid w:val="00C45896"/>
    <w:rsid w:val="00C51DA3"/>
    <w:rsid w:val="00C52FB5"/>
    <w:rsid w:val="00C53A1D"/>
    <w:rsid w:val="00C5440E"/>
    <w:rsid w:val="00C547E1"/>
    <w:rsid w:val="00C55278"/>
    <w:rsid w:val="00C60046"/>
    <w:rsid w:val="00C624DC"/>
    <w:rsid w:val="00C63FE5"/>
    <w:rsid w:val="00C642B2"/>
    <w:rsid w:val="00C7009A"/>
    <w:rsid w:val="00C71EF7"/>
    <w:rsid w:val="00C72EA3"/>
    <w:rsid w:val="00C73FAC"/>
    <w:rsid w:val="00C83A4B"/>
    <w:rsid w:val="00C84A64"/>
    <w:rsid w:val="00C949BC"/>
    <w:rsid w:val="00CA03F0"/>
    <w:rsid w:val="00CA0E09"/>
    <w:rsid w:val="00CA269A"/>
    <w:rsid w:val="00CA3F8A"/>
    <w:rsid w:val="00CB7BC6"/>
    <w:rsid w:val="00CC0596"/>
    <w:rsid w:val="00CC423C"/>
    <w:rsid w:val="00CC4BD9"/>
    <w:rsid w:val="00CD13A8"/>
    <w:rsid w:val="00CD1D66"/>
    <w:rsid w:val="00CD5D29"/>
    <w:rsid w:val="00CD6444"/>
    <w:rsid w:val="00CD7DF9"/>
    <w:rsid w:val="00CE7D6F"/>
    <w:rsid w:val="00CF068B"/>
    <w:rsid w:val="00CF394B"/>
    <w:rsid w:val="00CF449C"/>
    <w:rsid w:val="00CF6D90"/>
    <w:rsid w:val="00CF744F"/>
    <w:rsid w:val="00D00E81"/>
    <w:rsid w:val="00D03D21"/>
    <w:rsid w:val="00D03F58"/>
    <w:rsid w:val="00D06536"/>
    <w:rsid w:val="00D100AA"/>
    <w:rsid w:val="00D10748"/>
    <w:rsid w:val="00D142FB"/>
    <w:rsid w:val="00D14752"/>
    <w:rsid w:val="00D16747"/>
    <w:rsid w:val="00D17132"/>
    <w:rsid w:val="00D2128A"/>
    <w:rsid w:val="00D3218B"/>
    <w:rsid w:val="00D32603"/>
    <w:rsid w:val="00D327C6"/>
    <w:rsid w:val="00D33BAA"/>
    <w:rsid w:val="00D37268"/>
    <w:rsid w:val="00D37C8C"/>
    <w:rsid w:val="00D4476F"/>
    <w:rsid w:val="00D55DAB"/>
    <w:rsid w:val="00D55F51"/>
    <w:rsid w:val="00D57EF2"/>
    <w:rsid w:val="00D610E6"/>
    <w:rsid w:val="00D6529A"/>
    <w:rsid w:val="00D65A66"/>
    <w:rsid w:val="00D815A8"/>
    <w:rsid w:val="00D95D67"/>
    <w:rsid w:val="00DA3C7A"/>
    <w:rsid w:val="00DA5550"/>
    <w:rsid w:val="00DB1766"/>
    <w:rsid w:val="00DB201A"/>
    <w:rsid w:val="00DB36AC"/>
    <w:rsid w:val="00DB73E8"/>
    <w:rsid w:val="00DC4218"/>
    <w:rsid w:val="00DD1F3A"/>
    <w:rsid w:val="00DD4909"/>
    <w:rsid w:val="00DD74F7"/>
    <w:rsid w:val="00DF6638"/>
    <w:rsid w:val="00DF74EC"/>
    <w:rsid w:val="00E00DE0"/>
    <w:rsid w:val="00E07B66"/>
    <w:rsid w:val="00E23E4D"/>
    <w:rsid w:val="00E25804"/>
    <w:rsid w:val="00E259F7"/>
    <w:rsid w:val="00E266FC"/>
    <w:rsid w:val="00E30D39"/>
    <w:rsid w:val="00E3338A"/>
    <w:rsid w:val="00E3617B"/>
    <w:rsid w:val="00E366FB"/>
    <w:rsid w:val="00E41A0B"/>
    <w:rsid w:val="00E42B39"/>
    <w:rsid w:val="00E46ACA"/>
    <w:rsid w:val="00E52327"/>
    <w:rsid w:val="00E53183"/>
    <w:rsid w:val="00E564AF"/>
    <w:rsid w:val="00E60254"/>
    <w:rsid w:val="00E63153"/>
    <w:rsid w:val="00E705CD"/>
    <w:rsid w:val="00E7090D"/>
    <w:rsid w:val="00E751A7"/>
    <w:rsid w:val="00E76C13"/>
    <w:rsid w:val="00E77951"/>
    <w:rsid w:val="00E80344"/>
    <w:rsid w:val="00E823BD"/>
    <w:rsid w:val="00E82488"/>
    <w:rsid w:val="00E82879"/>
    <w:rsid w:val="00E86BBA"/>
    <w:rsid w:val="00E87698"/>
    <w:rsid w:val="00E91938"/>
    <w:rsid w:val="00E95040"/>
    <w:rsid w:val="00E95647"/>
    <w:rsid w:val="00E957D1"/>
    <w:rsid w:val="00E96FED"/>
    <w:rsid w:val="00EA2ED4"/>
    <w:rsid w:val="00EA3463"/>
    <w:rsid w:val="00EA36BE"/>
    <w:rsid w:val="00EA5373"/>
    <w:rsid w:val="00EB171C"/>
    <w:rsid w:val="00EC336A"/>
    <w:rsid w:val="00EC54AD"/>
    <w:rsid w:val="00EC57FE"/>
    <w:rsid w:val="00EC5F8C"/>
    <w:rsid w:val="00ED01ED"/>
    <w:rsid w:val="00ED12B5"/>
    <w:rsid w:val="00ED24DA"/>
    <w:rsid w:val="00ED41B2"/>
    <w:rsid w:val="00ED5A00"/>
    <w:rsid w:val="00EE207F"/>
    <w:rsid w:val="00EF0ABC"/>
    <w:rsid w:val="00EF5329"/>
    <w:rsid w:val="00EF584F"/>
    <w:rsid w:val="00EF675A"/>
    <w:rsid w:val="00F01FF6"/>
    <w:rsid w:val="00F02ABC"/>
    <w:rsid w:val="00F03869"/>
    <w:rsid w:val="00F05139"/>
    <w:rsid w:val="00F05C3B"/>
    <w:rsid w:val="00F05CA3"/>
    <w:rsid w:val="00F100E3"/>
    <w:rsid w:val="00F10A5E"/>
    <w:rsid w:val="00F11476"/>
    <w:rsid w:val="00F12F11"/>
    <w:rsid w:val="00F261EB"/>
    <w:rsid w:val="00F32CE0"/>
    <w:rsid w:val="00F35AB0"/>
    <w:rsid w:val="00F40119"/>
    <w:rsid w:val="00F632C6"/>
    <w:rsid w:val="00F71427"/>
    <w:rsid w:val="00F74035"/>
    <w:rsid w:val="00F74E9E"/>
    <w:rsid w:val="00F74FC2"/>
    <w:rsid w:val="00F829DE"/>
    <w:rsid w:val="00F86C7F"/>
    <w:rsid w:val="00F94FFC"/>
    <w:rsid w:val="00FB7EAB"/>
    <w:rsid w:val="00FC763C"/>
    <w:rsid w:val="00FD0416"/>
    <w:rsid w:val="00FD2EB6"/>
    <w:rsid w:val="00FD61CA"/>
    <w:rsid w:val="00FE6CA5"/>
    <w:rsid w:val="00FF11B5"/>
    <w:rsid w:val="00FF6AD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39" w:unhideWhenUsed="0"/>
    <w:lsdException w:name="toc 5" w:semiHidden="0" w:uiPriority="0" w:unhideWhenUsed="0"/>
    <w:lsdException w:name="toc 6" w:semiHidden="0" w:uiPriority="39"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semiHidden="0" w:uiPriority="1"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59"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E41A0B"/>
    <w:pPr>
      <w:spacing w:after="200" w:line="276" w:lineRule="auto"/>
    </w:pPr>
    <w:rPr>
      <w:rFonts w:ascii="Segoe UI" w:eastAsia="Calibri" w:hAnsi="Segoe UI"/>
      <w:color w:val="595959"/>
      <w:szCs w:val="22"/>
      <w:lang w:val="en-US" w:eastAsia="en-US" w:bidi="ar-SA"/>
    </w:rPr>
  </w:style>
  <w:style w:type="paragraph" w:styleId="Heading1">
    <w:name w:val="heading 1"/>
    <w:next w:val="Normal"/>
    <w:link w:val="Heading1Char"/>
    <w:uiPriority w:val="9"/>
    <w:qFormat/>
    <w:rsid w:val="00E41A0B"/>
    <w:pPr>
      <w:autoSpaceDE w:val="0"/>
      <w:autoSpaceDN w:val="0"/>
      <w:adjustRightInd w:val="0"/>
      <w:spacing w:after="80"/>
      <w:outlineLvl w:val="0"/>
    </w:pPr>
    <w:rPr>
      <w:rFonts w:ascii="Neo Sans Std" w:hAnsi="Neo Sans Std" w:cs="Arial"/>
      <w:color w:val="1A2A44"/>
      <w:sz w:val="44"/>
      <w:szCs w:val="44"/>
      <w:lang w:val="en-US" w:eastAsia="en-US" w:bidi="ar-SA"/>
    </w:rPr>
  </w:style>
  <w:style w:type="paragraph" w:styleId="Heading2">
    <w:name w:val="heading 2"/>
    <w:basedOn w:val="Normal"/>
    <w:next w:val="Normal"/>
    <w:link w:val="Heading2Char"/>
    <w:uiPriority w:val="9"/>
    <w:qFormat/>
    <w:rsid w:val="00E41A0B"/>
    <w:pPr>
      <w:autoSpaceDE w:val="0"/>
      <w:autoSpaceDN w:val="0"/>
      <w:adjustRightInd w:val="0"/>
      <w:spacing w:line="240" w:lineRule="auto"/>
      <w:outlineLvl w:val="1"/>
    </w:pPr>
    <w:rPr>
      <w:rFonts w:ascii="Neo Sans Std" w:eastAsia="Times New Roman" w:hAnsi="Neo Sans Std" w:cs="Arial"/>
      <w:color w:val="2E5E88"/>
      <w:sz w:val="34"/>
      <w:szCs w:val="32"/>
    </w:rPr>
  </w:style>
  <w:style w:type="paragraph" w:styleId="Heading3">
    <w:name w:val="heading 3"/>
    <w:basedOn w:val="Normal"/>
    <w:next w:val="Normal"/>
    <w:link w:val="Heading3Char"/>
    <w:uiPriority w:val="9"/>
    <w:qFormat/>
    <w:rsid w:val="00E41A0B"/>
    <w:pPr>
      <w:keepNext/>
      <w:spacing w:before="240" w:after="240" w:line="260" w:lineRule="exact"/>
      <w:outlineLvl w:val="2"/>
    </w:pPr>
    <w:rPr>
      <w:rFonts w:ascii="Neo Sans Std" w:eastAsia="Times New Roman" w:hAnsi="Neo Sans Std" w:cs="Arial"/>
      <w:bCs/>
      <w:color w:val="548DD4"/>
      <w:sz w:val="26"/>
      <w:szCs w:val="26"/>
    </w:rPr>
  </w:style>
  <w:style w:type="paragraph" w:styleId="Heading4">
    <w:name w:val="heading 4"/>
    <w:next w:val="Normal"/>
    <w:link w:val="Heading4Char"/>
    <w:uiPriority w:val="9"/>
    <w:unhideWhenUsed/>
    <w:qFormat/>
    <w:rsid w:val="00E41A0B"/>
    <w:pPr>
      <w:keepLines/>
      <w:spacing w:before="200" w:after="200"/>
      <w:outlineLvl w:val="3"/>
    </w:pPr>
    <w:rPr>
      <w:rFonts w:ascii="Aller" w:hAnsi="Aller"/>
      <w:iCs/>
      <w:color w:val="7F7F7F"/>
      <w:sz w:val="24"/>
      <w:szCs w:val="26"/>
      <w:lang w:val="en-US" w:eastAsia="en-US" w:bidi="ar-SA"/>
    </w:rPr>
  </w:style>
  <w:style w:type="paragraph" w:styleId="Heading5">
    <w:name w:val="heading 5"/>
    <w:next w:val="Normal"/>
    <w:link w:val="Heading5Char"/>
    <w:uiPriority w:val="9"/>
    <w:unhideWhenUsed/>
    <w:qFormat/>
    <w:rsid w:val="00E41A0B"/>
    <w:pPr>
      <w:keepLines/>
      <w:spacing w:before="200" w:after="200"/>
      <w:outlineLvl w:val="4"/>
    </w:pPr>
    <w:rPr>
      <w:rFonts w:ascii="Aller Light" w:hAnsi="Aller Light"/>
      <w:bCs/>
      <w:color w:val="808080"/>
      <w:sz w:val="24"/>
      <w:szCs w:val="26"/>
      <w:lang w:val="en-US" w:eastAsia="en-US" w:bidi="ar-SA"/>
    </w:rPr>
  </w:style>
  <w:style w:type="paragraph" w:styleId="Heading6">
    <w:name w:val="heading 6"/>
    <w:next w:val="Normal"/>
    <w:link w:val="Heading6Char"/>
    <w:uiPriority w:val="9"/>
    <w:unhideWhenUsed/>
    <w:qFormat/>
    <w:rsid w:val="00E41A0B"/>
    <w:pPr>
      <w:keepLines/>
      <w:numPr>
        <w:ilvl w:val="5"/>
        <w:numId w:val="4"/>
      </w:numPr>
      <w:spacing w:before="200" w:after="200"/>
      <w:outlineLvl w:val="5"/>
    </w:pPr>
    <w:rPr>
      <w:rFonts w:ascii="Aller Light" w:hAnsi="Aller Light"/>
      <w:bCs/>
      <w:i/>
      <w:iCs/>
      <w:color w:val="808080"/>
      <w:sz w:val="22"/>
      <w:szCs w:val="26"/>
      <w:lang w:val="en-US" w:eastAsia="en-US" w:bidi="ar-SA"/>
    </w:rPr>
  </w:style>
  <w:style w:type="paragraph" w:styleId="Heading7">
    <w:name w:val="heading 7"/>
    <w:basedOn w:val="Normal"/>
    <w:next w:val="Normal"/>
    <w:qFormat/>
    <w:rsid w:val="00885706"/>
    <w:pPr>
      <w:spacing w:before="240" w:after="60"/>
      <w:outlineLvl w:val="6"/>
    </w:pPr>
    <w:rPr>
      <w:rFonts w:ascii="Times New Roman" w:hAnsi="Times New Roman"/>
      <w:sz w:val="24"/>
      <w:szCs w:val="24"/>
    </w:rPr>
  </w:style>
  <w:style w:type="paragraph" w:styleId="Heading8">
    <w:name w:val="heading 8"/>
    <w:basedOn w:val="Normal"/>
    <w:next w:val="Normal"/>
    <w:qFormat/>
    <w:rsid w:val="00885706"/>
    <w:pPr>
      <w:spacing w:before="240" w:after="60"/>
      <w:outlineLvl w:val="7"/>
    </w:pPr>
    <w:rPr>
      <w:rFonts w:ascii="Times New Roman" w:hAnsi="Times New Roman"/>
      <w:i/>
      <w:iCs/>
      <w:sz w:val="24"/>
      <w:szCs w:val="24"/>
    </w:rPr>
  </w:style>
  <w:style w:type="paragraph" w:styleId="Heading9">
    <w:name w:val="heading 9"/>
    <w:basedOn w:val="Normal"/>
    <w:next w:val="Normal"/>
    <w:qFormat/>
    <w:rsid w:val="00885706"/>
    <w:pPr>
      <w:spacing w:before="240" w:after="60"/>
      <w:outlineLvl w:val="8"/>
    </w:pPr>
    <w:rPr>
      <w:rFonts w:ascii="Arial" w:hAnsi="Arial" w:cs="Arial"/>
      <w:sz w:val="22"/>
      <w:szCs w:val="22"/>
    </w:rPr>
  </w:style>
  <w:style w:type="character" w:default="1" w:styleId="DefaultParagraphFont">
    <w:name w:val="Default Paragraph Font"/>
    <w:uiPriority w:val="1"/>
    <w:unhideWhenUsed/>
    <w:rsid w:val="00E41A0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E41A0B"/>
  </w:style>
  <w:style w:type="character" w:customStyle="1" w:styleId="Heading1Char">
    <w:name w:val="Heading 1 Char"/>
    <w:link w:val="Heading1"/>
    <w:uiPriority w:val="9"/>
    <w:rsid w:val="00E41A0B"/>
    <w:rPr>
      <w:rFonts w:ascii="Neo Sans Std" w:hAnsi="Neo Sans Std" w:cs="Arial"/>
      <w:color w:val="1A2A44"/>
      <w:sz w:val="44"/>
      <w:szCs w:val="44"/>
      <w:lang w:val="en-US" w:eastAsia="en-US" w:bidi="ar-SA"/>
    </w:rPr>
  </w:style>
  <w:style w:type="paragraph" w:styleId="TOC1">
    <w:name w:val="toc 1"/>
    <w:basedOn w:val="ModelerNormal"/>
    <w:next w:val="ModelerNormal"/>
    <w:autoRedefine/>
    <w:rsid w:val="00E41A0B"/>
    <w:pPr>
      <w:spacing w:before="120" w:after="0" w:line="240" w:lineRule="auto"/>
    </w:pPr>
    <w:rPr>
      <w:rFonts w:eastAsia="Times New Roman"/>
      <w:caps/>
      <w:color w:val="auto"/>
      <w:szCs w:val="20"/>
      <w:lang w:val="es-ES_tradnl" w:eastAsia="es-ES"/>
    </w:rPr>
  </w:style>
  <w:style w:type="paragraph" w:styleId="TOC2">
    <w:name w:val="toc 2"/>
    <w:basedOn w:val="ModelerNormal"/>
    <w:next w:val="ModelerNormal"/>
    <w:autoRedefine/>
    <w:rsid w:val="00E41A0B"/>
    <w:pPr>
      <w:tabs>
        <w:tab w:val="right" w:leader="dot" w:pos="8828"/>
      </w:tabs>
      <w:spacing w:after="0" w:line="240" w:lineRule="auto"/>
      <w:ind w:left="198"/>
      <w:jc w:val="both"/>
    </w:pPr>
    <w:rPr>
      <w:rFonts w:eastAsia="Times New Roman"/>
      <w:smallCaps/>
      <w:color w:val="auto"/>
      <w:szCs w:val="20"/>
      <w:lang w:eastAsia="es-ES"/>
    </w:rPr>
  </w:style>
  <w:style w:type="paragraph" w:styleId="TOC3">
    <w:name w:val="toc 3"/>
    <w:basedOn w:val="ModelerNormal"/>
    <w:next w:val="ModelerNormal"/>
    <w:autoRedefine/>
    <w:rsid w:val="00E41A0B"/>
    <w:pPr>
      <w:tabs>
        <w:tab w:val="left" w:pos="1321"/>
        <w:tab w:val="right" w:leader="dot" w:pos="8828"/>
      </w:tabs>
      <w:spacing w:after="0" w:line="240" w:lineRule="auto"/>
      <w:ind w:left="403"/>
      <w:jc w:val="both"/>
    </w:pPr>
    <w:rPr>
      <w:rFonts w:eastAsia="Times New Roman"/>
      <w:noProof/>
      <w:color w:val="000000"/>
      <w:szCs w:val="20"/>
      <w:lang w:val="es-ES" w:eastAsia="es-ES"/>
    </w:rPr>
  </w:style>
  <w:style w:type="character" w:styleId="Hyperlink">
    <w:name w:val="Hyperlink"/>
    <w:uiPriority w:val="99"/>
    <w:unhideWhenUsed/>
    <w:rsid w:val="00E41A0B"/>
    <w:rPr>
      <w:rFonts w:ascii="Segoe UI" w:hAnsi="Segoe UI"/>
      <w:color w:val="0000FF"/>
      <w:u w:val="single"/>
    </w:rPr>
  </w:style>
  <w:style w:type="paragraph" w:styleId="Header">
    <w:name w:val="header"/>
    <w:basedOn w:val="Normal"/>
    <w:link w:val="HeaderChar"/>
    <w:unhideWhenUsed/>
    <w:rsid w:val="00E41A0B"/>
    <w:pPr>
      <w:tabs>
        <w:tab w:val="center" w:pos="4419"/>
        <w:tab w:val="right" w:pos="8838"/>
      </w:tabs>
      <w:spacing w:after="0" w:line="240" w:lineRule="auto"/>
    </w:pPr>
  </w:style>
  <w:style w:type="paragraph" w:styleId="Footer">
    <w:name w:val="footer"/>
    <w:basedOn w:val="Normal"/>
    <w:link w:val="FooterChar"/>
    <w:uiPriority w:val="99"/>
    <w:unhideWhenUsed/>
    <w:rsid w:val="00E41A0B"/>
    <w:pPr>
      <w:tabs>
        <w:tab w:val="center" w:pos="4419"/>
        <w:tab w:val="right" w:pos="8838"/>
      </w:tabs>
      <w:spacing w:after="0" w:line="240" w:lineRule="auto"/>
    </w:pPr>
  </w:style>
  <w:style w:type="character" w:styleId="PageNumber">
    <w:name w:val="page number"/>
    <w:basedOn w:val="DefaultParagraphFont"/>
    <w:rsid w:val="00A55D18"/>
  </w:style>
  <w:style w:type="paragraph" w:customStyle="1" w:styleId="Titular">
    <w:name w:val="Titular"/>
    <w:basedOn w:val="Heading1"/>
    <w:link w:val="TitularChar"/>
    <w:semiHidden/>
    <w:rsid w:val="00A55D18"/>
    <w:rPr>
      <w:color w:val="333333"/>
    </w:rPr>
  </w:style>
  <w:style w:type="character" w:customStyle="1" w:styleId="TitularChar">
    <w:name w:val="Titular Char"/>
    <w:link w:val="Titular"/>
    <w:semiHidden/>
    <w:rsid w:val="00A55D18"/>
    <w:rPr>
      <w:rFonts w:ascii="Neo Sans Std" w:hAnsi="Neo Sans Std" w:cs="Arial"/>
      <w:color w:val="333333"/>
      <w:sz w:val="44"/>
      <w:szCs w:val="44"/>
      <w:lang w:val="en-US" w:eastAsia="en-US" w:bidi="ar-SA"/>
    </w:rPr>
  </w:style>
  <w:style w:type="paragraph" w:styleId="BodyText">
    <w:name w:val="Body Text"/>
    <w:basedOn w:val="Normal"/>
    <w:link w:val="BodyTextChar"/>
    <w:rsid w:val="00E41A0B"/>
    <w:pPr>
      <w:spacing w:line="240" w:lineRule="auto"/>
      <w:ind w:left="634"/>
    </w:pPr>
    <w:rPr>
      <w:rFonts w:eastAsia="Times New Roman"/>
      <w:szCs w:val="20"/>
    </w:rPr>
  </w:style>
  <w:style w:type="table" w:styleId="TableGrid">
    <w:name w:val="Table Grid"/>
    <w:basedOn w:val="TableNormal"/>
    <w:uiPriority w:val="59"/>
    <w:rsid w:val="00E41A0B"/>
    <w:rPr>
      <w:rFonts w:ascii="Century Gothic" w:hAnsi="Century Gothic"/>
    </w:rPr>
    <w:tblPr>
      <w:tblInd w:w="10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auto"/>
    </w:tcPr>
  </w:style>
  <w:style w:type="paragraph" w:styleId="FootnoteText">
    <w:name w:val="footnote text"/>
    <w:basedOn w:val="Normal"/>
    <w:semiHidden/>
    <w:rsid w:val="00AE3ACF"/>
  </w:style>
  <w:style w:type="character" w:styleId="FootnoteReference">
    <w:name w:val="footnote reference"/>
    <w:semiHidden/>
    <w:rsid w:val="00AE3ACF"/>
    <w:rPr>
      <w:vertAlign w:val="superscript"/>
    </w:rPr>
  </w:style>
  <w:style w:type="paragraph" w:customStyle="1" w:styleId="StyleTitularBold">
    <w:name w:val="Style Titular + Bold"/>
    <w:basedOn w:val="Titular"/>
    <w:autoRedefine/>
    <w:rsid w:val="008C2CEA"/>
    <w:rPr>
      <w:b/>
      <w:bCs/>
      <w:iCs/>
      <w:szCs w:val="40"/>
    </w:rPr>
  </w:style>
  <w:style w:type="paragraph" w:customStyle="1" w:styleId="Aviso">
    <w:name w:val="Aviso"/>
    <w:basedOn w:val="Normal"/>
    <w:autoRedefine/>
    <w:rsid w:val="0033264A"/>
    <w:pPr>
      <w:spacing w:before="0"/>
      <w:jc w:val="left"/>
    </w:pPr>
    <w:rPr>
      <w:b/>
      <w:sz w:val="15"/>
      <w:szCs w:val="15"/>
      <w:lang w:val="es-ES_tradnl"/>
    </w:rPr>
  </w:style>
  <w:style w:type="paragraph" w:customStyle="1" w:styleId="TitularInicio">
    <w:name w:val="TitularInicio"/>
    <w:basedOn w:val="StyleTitularBold"/>
    <w:autoRedefine/>
    <w:rsid w:val="002732D9"/>
    <w:pPr>
      <w:numPr>
        <w:ilvl w:val="0"/>
        <w:numId w:val="0"/>
      </w:numPr>
    </w:pPr>
  </w:style>
  <w:style w:type="numbering" w:customStyle="1" w:styleId="Lista">
    <w:name w:val="Lista"/>
    <w:basedOn w:val="NoList"/>
    <w:rsid w:val="007741DF"/>
    <w:pPr>
      <w:numPr>
        <w:numId w:val="1"/>
      </w:numPr>
    </w:pPr>
  </w:style>
  <w:style w:type="paragraph" w:customStyle="1" w:styleId="Normal4">
    <w:name w:val="Normal4"/>
    <w:basedOn w:val="Normal"/>
    <w:rsid w:val="00820B48"/>
    <w:pPr>
      <w:ind w:left="504"/>
    </w:pPr>
    <w:rPr>
      <w:lang w:val="es-ES_tradnl"/>
    </w:rPr>
  </w:style>
  <w:style w:type="paragraph" w:styleId="TOC5">
    <w:name w:val="toc 5"/>
    <w:basedOn w:val="ModelerNormal"/>
    <w:next w:val="ModelerNormal"/>
    <w:autoRedefine/>
    <w:rsid w:val="00E41A0B"/>
    <w:pPr>
      <w:spacing w:before="120" w:after="0" w:line="240" w:lineRule="auto"/>
      <w:ind w:left="800"/>
      <w:jc w:val="both"/>
    </w:pPr>
    <w:rPr>
      <w:rFonts w:eastAsia="Times New Roman"/>
      <w:color w:val="auto"/>
      <w:szCs w:val="20"/>
      <w:lang w:eastAsia="es-ES"/>
    </w:rPr>
  </w:style>
  <w:style w:type="paragraph" w:customStyle="1" w:styleId="Normal5">
    <w:name w:val="Normal5"/>
    <w:basedOn w:val="Normal"/>
    <w:rsid w:val="000774A1"/>
    <w:pPr>
      <w:ind w:left="1440"/>
    </w:pPr>
  </w:style>
  <w:style w:type="paragraph" w:customStyle="1" w:styleId="bizNormal">
    <w:name w:val="bizNormal"/>
    <w:basedOn w:val="ModelerNormal"/>
    <w:next w:val="ModelerNormal"/>
    <w:qFormat/>
    <w:rsid w:val="00E41A0B"/>
  </w:style>
  <w:style w:type="paragraph" w:customStyle="1" w:styleId="bizHeading1">
    <w:name w:val="bizHeading1"/>
    <w:basedOn w:val="Heading1"/>
    <w:next w:val="ModelerNormal"/>
    <w:qFormat/>
    <w:rsid w:val="004C30E2"/>
    <w:pPr>
      <w:keepNext/>
      <w:keepLines/>
      <w:numPr>
        <w:ilvl w:val="0"/>
        <w:numId w:val="4"/>
      </w:numPr>
      <w:tabs>
        <w:tab w:val="clear" w:pos="936"/>
      </w:tabs>
      <w:autoSpaceDE/>
      <w:autoSpaceDN/>
      <w:adjustRightInd/>
      <w:spacing w:before="400" w:after="0" w:line="269" w:lineRule="auto"/>
      <w:ind w:left="0" w:firstLine="0"/>
    </w:pPr>
    <w:rPr>
      <w:rFonts w:ascii="Segoe UI Semibold" w:eastAsia="Times New Roman" w:hAnsi="Segoe UI Semibold" w:cs="Times New Roman"/>
      <w:color w:val="30646E"/>
      <w:sz w:val="36"/>
      <w:szCs w:val="32"/>
      <w:lang w:val="en-AU"/>
    </w:rPr>
  </w:style>
  <w:style w:type="paragraph" w:customStyle="1" w:styleId="bizHeading2">
    <w:name w:val="bizHeading2"/>
    <w:basedOn w:val="Heading2"/>
    <w:next w:val="ModelerNormal"/>
    <w:qFormat/>
    <w:rsid w:val="004C30E2"/>
    <w:pPr>
      <w:keepNext/>
      <w:keepLines/>
      <w:numPr>
        <w:ilvl w:val="1"/>
        <w:numId w:val="4"/>
      </w:numPr>
      <w:tabs>
        <w:tab w:val="clear" w:pos="1080"/>
      </w:tabs>
      <w:autoSpaceDE/>
      <w:autoSpaceDN/>
      <w:adjustRightInd/>
      <w:spacing w:before="40" w:after="0" w:line="269" w:lineRule="auto"/>
      <w:ind w:left="0" w:firstLine="0"/>
    </w:pPr>
    <w:rPr>
      <w:rFonts w:ascii="Segoe UI Semibold" w:eastAsia="Times New Roman" w:hAnsi="Segoe UI Semibold" w:cs="Times New Roman"/>
      <w:color w:val="009485"/>
      <w:sz w:val="32"/>
      <w:szCs w:val="26"/>
      <w:lang w:val="en-AU"/>
    </w:rPr>
  </w:style>
  <w:style w:type="paragraph" w:customStyle="1" w:styleId="bizHeading3">
    <w:name w:val="bizHeading3"/>
    <w:basedOn w:val="Heading3"/>
    <w:next w:val="ModelerNormal"/>
    <w:qFormat/>
    <w:rsid w:val="004C30E2"/>
    <w:pPr>
      <w:keepLines/>
      <w:numPr>
        <w:ilvl w:val="2"/>
        <w:numId w:val="4"/>
      </w:numPr>
      <w:tabs>
        <w:tab w:val="clear" w:pos="1224"/>
      </w:tabs>
      <w:spacing w:before="40" w:after="0" w:line="269" w:lineRule="auto"/>
      <w:ind w:left="0" w:firstLine="0"/>
    </w:pPr>
    <w:rPr>
      <w:rFonts w:ascii="Segoe UI Semibold" w:eastAsia="Times New Roman" w:hAnsi="Segoe UI Semibold" w:cs="Times New Roman"/>
      <w:bCs w:val="0"/>
      <w:color w:val="212D34"/>
      <w:sz w:val="28"/>
      <w:szCs w:val="28"/>
      <w:lang w:val="en-AU"/>
    </w:rPr>
  </w:style>
  <w:style w:type="paragraph" w:customStyle="1" w:styleId="bizHeading4">
    <w:name w:val="bizHeading4"/>
    <w:basedOn w:val="Heading4"/>
    <w:next w:val="ModelerNormal"/>
    <w:qFormat/>
    <w:rsid w:val="004C30E2"/>
    <w:pPr>
      <w:keepNext/>
      <w:numPr>
        <w:ilvl w:val="3"/>
        <w:numId w:val="4"/>
      </w:numPr>
      <w:tabs>
        <w:tab w:val="clear" w:pos="1368"/>
      </w:tabs>
      <w:spacing w:before="40" w:after="0" w:line="269" w:lineRule="auto"/>
      <w:ind w:left="0" w:firstLine="0"/>
    </w:pPr>
    <w:rPr>
      <w:rFonts w:ascii="Segoe UI Semibold" w:eastAsia="Times New Roman" w:hAnsi="Segoe UI Semibold" w:cs="Times New Roman"/>
      <w:i/>
      <w:color w:val="006E63"/>
      <w:sz w:val="28"/>
      <w:szCs w:val="24"/>
      <w:lang w:val="en-AU"/>
    </w:rPr>
  </w:style>
  <w:style w:type="paragraph" w:customStyle="1" w:styleId="bizHeading5">
    <w:name w:val="bizHeading5"/>
    <w:basedOn w:val="Heading5"/>
    <w:next w:val="ModelerNormal"/>
    <w:qFormat/>
    <w:rsid w:val="004C30E2"/>
    <w:pPr>
      <w:keepNext/>
      <w:numPr>
        <w:ilvl w:val="4"/>
        <w:numId w:val="4"/>
      </w:numPr>
      <w:tabs>
        <w:tab w:val="clear" w:pos="1512"/>
      </w:tabs>
      <w:spacing w:before="40" w:after="0" w:line="269" w:lineRule="auto"/>
      <w:ind w:left="0" w:firstLine="0"/>
    </w:pPr>
    <w:rPr>
      <w:rFonts w:ascii="Segoe UI Semibold" w:eastAsia="Times New Roman" w:hAnsi="Segoe UI Semibold" w:cs="Times New Roman"/>
      <w:bCs w:val="0"/>
      <w:color w:val="5F6E7C"/>
      <w:sz w:val="26"/>
      <w:szCs w:val="20"/>
      <w:lang w:val="en-AU"/>
    </w:rPr>
  </w:style>
  <w:style w:type="paragraph" w:styleId="BalloonText">
    <w:name w:val="Balloon Text"/>
    <w:basedOn w:val="Normal"/>
    <w:link w:val="BalloonTextChar"/>
    <w:uiPriority w:val="99"/>
    <w:unhideWhenUsed/>
    <w:rsid w:val="00E41A0B"/>
    <w:pPr>
      <w:spacing w:after="0" w:line="240" w:lineRule="auto"/>
    </w:pPr>
    <w:rPr>
      <w:rFonts w:ascii="Tahoma" w:hAnsi="Tahoma" w:cs="Tahoma"/>
      <w:sz w:val="16"/>
      <w:szCs w:val="16"/>
    </w:rPr>
  </w:style>
  <w:style w:type="character" w:customStyle="1" w:styleId="BalloonTextChar">
    <w:name w:val="Balloon Text Char"/>
    <w:link w:val="BalloonText"/>
    <w:uiPriority w:val="99"/>
    <w:rsid w:val="00E41A0B"/>
    <w:rPr>
      <w:rFonts w:ascii="Tahoma" w:eastAsia="Calibri" w:hAnsi="Tahoma" w:cs="Tahoma"/>
      <w:color w:val="595959"/>
      <w:sz w:val="16"/>
      <w:szCs w:val="16"/>
      <w:lang w:val="en-US" w:eastAsia="en-US" w:bidi="ar-SA"/>
    </w:rPr>
  </w:style>
  <w:style w:type="paragraph" w:customStyle="1" w:styleId="ModelerNormal">
    <w:name w:val="ModelerNormal"/>
    <w:basedOn w:val="Normal"/>
    <w:link w:val="ModelerNormalChar"/>
    <w:qFormat/>
    <w:rsid w:val="00E41A0B"/>
  </w:style>
  <w:style w:type="paragraph" w:customStyle="1" w:styleId="bizHeadingBAS3">
    <w:name w:val="bizHeadingBAS3"/>
    <w:basedOn w:val="bizHeading3"/>
    <w:next w:val="Normal"/>
    <w:rsid w:val="00F11476"/>
    <w:pPr>
      <w:pBdr>
        <w:top w:val="none" w:sz="0" w:space="0" w:color="auto"/>
      </w:pBdr>
    </w:pPr>
    <w:rPr>
      <w:caps/>
      <w:sz w:val="20"/>
    </w:rPr>
  </w:style>
  <w:style w:type="paragraph" w:customStyle="1" w:styleId="bizHeadingBAS2">
    <w:name w:val="bizHeadingBAS2"/>
    <w:basedOn w:val="bizHeading2"/>
    <w:next w:val="Normal"/>
    <w:rsid w:val="00BF1BBD"/>
    <w:rPr>
      <w:sz w:val="24"/>
    </w:rPr>
  </w:style>
  <w:style w:type="paragraph" w:customStyle="1" w:styleId="bizHeadingBAS1">
    <w:name w:val="bizHeadingBAS1"/>
    <w:basedOn w:val="bizHeading1"/>
    <w:next w:val="Normal"/>
    <w:qFormat/>
    <w:rsid w:val="004F1444"/>
    <w:pPr>
      <w:numPr>
        <w:ilvl w:val="0"/>
        <w:numId w:val="2"/>
      </w:numPr>
    </w:pPr>
  </w:style>
  <w:style w:type="character" w:customStyle="1" w:styleId="HeaderChar">
    <w:name w:val="Header Char"/>
    <w:link w:val="Header"/>
    <w:rsid w:val="00E41A0B"/>
    <w:rPr>
      <w:rFonts w:ascii="Segoe UI" w:eastAsia="Calibri" w:hAnsi="Segoe UI"/>
      <w:color w:val="595959"/>
      <w:szCs w:val="22"/>
      <w:lang w:val="en-US" w:eastAsia="en-US" w:bidi="ar-SA"/>
    </w:rPr>
  </w:style>
  <w:style w:type="character" w:customStyle="1" w:styleId="Heading2Char">
    <w:name w:val="Heading 2 Char"/>
    <w:link w:val="Heading2"/>
    <w:uiPriority w:val="9"/>
    <w:rsid w:val="00E41A0B"/>
    <w:rPr>
      <w:rFonts w:ascii="Neo Sans Std" w:hAnsi="Neo Sans Std" w:cs="Arial"/>
      <w:color w:val="2E5E88"/>
      <w:sz w:val="34"/>
      <w:szCs w:val="32"/>
      <w:lang w:val="en-US" w:eastAsia="en-US" w:bidi="ar-SA"/>
    </w:rPr>
  </w:style>
  <w:style w:type="character" w:customStyle="1" w:styleId="BodyTextChar">
    <w:name w:val="Body Text Char"/>
    <w:link w:val="BodyText"/>
    <w:rsid w:val="00E41A0B"/>
    <w:rPr>
      <w:rFonts w:ascii="Segoe UI" w:hAnsi="Segoe UI"/>
      <w:color w:val="595959"/>
      <w:lang w:val="en-US" w:eastAsia="en-US" w:bidi="ar-SA"/>
    </w:rPr>
  </w:style>
  <w:style w:type="paragraph" w:customStyle="1" w:styleId="bizHeadingBAS11">
    <w:name w:val="bizHeadingBAS1_1"/>
    <w:basedOn w:val="bizHeadingBAS1"/>
    <w:next w:val="Normal"/>
    <w:qFormat/>
    <w:rsid w:val="004F1444"/>
    <w:pPr>
      <w:numPr>
        <w:ilvl w:val="0"/>
        <w:numId w:val="0"/>
      </w:numPr>
    </w:pPr>
  </w:style>
  <w:style w:type="character" w:customStyle="1" w:styleId="Heading3Char">
    <w:name w:val="Heading 3 Char"/>
    <w:link w:val="Heading3"/>
    <w:uiPriority w:val="9"/>
    <w:rsid w:val="00E41A0B"/>
    <w:rPr>
      <w:rFonts w:ascii="Neo Sans Std" w:hAnsi="Neo Sans Std" w:cs="Arial"/>
      <w:bCs/>
      <w:color w:val="548DD4"/>
      <w:sz w:val="26"/>
      <w:szCs w:val="26"/>
      <w:lang w:val="en-US" w:eastAsia="en-US" w:bidi="ar-SA"/>
    </w:rPr>
  </w:style>
  <w:style w:type="character" w:customStyle="1" w:styleId="Heading4Char">
    <w:name w:val="Heading 4 Char"/>
    <w:link w:val="Heading4"/>
    <w:uiPriority w:val="9"/>
    <w:rsid w:val="00E41A0B"/>
    <w:rPr>
      <w:rFonts w:ascii="Aller" w:hAnsi="Aller"/>
      <w:iCs/>
      <w:color w:val="7F7F7F"/>
      <w:sz w:val="24"/>
      <w:szCs w:val="26"/>
      <w:lang w:val="en-US" w:eastAsia="en-US" w:bidi="ar-SA"/>
    </w:rPr>
  </w:style>
  <w:style w:type="character" w:customStyle="1" w:styleId="Heading5Char">
    <w:name w:val="Heading 5 Char"/>
    <w:link w:val="Heading5"/>
    <w:uiPriority w:val="9"/>
    <w:rsid w:val="00E41A0B"/>
    <w:rPr>
      <w:rFonts w:ascii="Aller Light" w:hAnsi="Aller Light"/>
      <w:bCs/>
      <w:color w:val="808080"/>
      <w:sz w:val="24"/>
      <w:szCs w:val="26"/>
      <w:lang w:val="en-US" w:eastAsia="en-US" w:bidi="ar-SA"/>
    </w:rPr>
  </w:style>
  <w:style w:type="paragraph" w:customStyle="1" w:styleId="Confidential">
    <w:name w:val="Confidential"/>
    <w:basedOn w:val="Normal"/>
    <w:qFormat/>
    <w:rsid w:val="00E41A0B"/>
    <w:pPr>
      <w:spacing w:after="0" w:line="240" w:lineRule="auto"/>
    </w:pPr>
    <w:rPr>
      <w:rFonts w:eastAsia="Times New Roman"/>
      <w:i/>
      <w:color w:val="808080"/>
      <w:szCs w:val="20"/>
    </w:rPr>
  </w:style>
  <w:style w:type="character" w:styleId="Emphasis">
    <w:name w:val="Emphasis"/>
    <w:qFormat/>
    <w:rsid w:val="00E41A0B"/>
    <w:rPr>
      <w:rFonts w:ascii="Segoe UI" w:hAnsi="Segoe UI"/>
      <w:b/>
      <w:i/>
      <w:iCs/>
      <w:color w:val="404040"/>
    </w:rPr>
  </w:style>
  <w:style w:type="character" w:customStyle="1" w:styleId="FooterChar">
    <w:name w:val="Footer Char"/>
    <w:link w:val="Footer"/>
    <w:uiPriority w:val="99"/>
    <w:rsid w:val="00E41A0B"/>
    <w:rPr>
      <w:rFonts w:ascii="Segoe UI" w:eastAsia="Calibri" w:hAnsi="Segoe UI"/>
      <w:color w:val="595959"/>
      <w:szCs w:val="22"/>
      <w:lang w:val="en-US" w:eastAsia="en-US" w:bidi="ar-SA"/>
    </w:rPr>
  </w:style>
  <w:style w:type="paragraph" w:customStyle="1" w:styleId="frontpage">
    <w:name w:val="front page"/>
    <w:basedOn w:val="Normal"/>
    <w:qFormat/>
    <w:rsid w:val="00E41A0B"/>
    <w:pPr>
      <w:spacing w:after="0" w:line="240" w:lineRule="auto"/>
      <w:ind w:left="634"/>
    </w:pPr>
    <w:rPr>
      <w:rFonts w:eastAsia="Times New Roman"/>
      <w:noProof/>
      <w:szCs w:val="20"/>
    </w:rPr>
  </w:style>
  <w:style w:type="character" w:customStyle="1" w:styleId="Heading6Char">
    <w:name w:val="Heading 6 Char"/>
    <w:link w:val="Heading6"/>
    <w:uiPriority w:val="9"/>
    <w:rsid w:val="00E41A0B"/>
    <w:rPr>
      <w:rFonts w:ascii="Aller Light" w:hAnsi="Aller Light"/>
      <w:bCs/>
      <w:i/>
      <w:iCs/>
      <w:color w:val="808080"/>
      <w:sz w:val="22"/>
      <w:szCs w:val="26"/>
      <w:lang w:val="en-US" w:eastAsia="en-US" w:bidi="ar-SA"/>
    </w:rPr>
  </w:style>
  <w:style w:type="paragraph" w:customStyle="1" w:styleId="heading40">
    <w:name w:val="heading4"/>
    <w:basedOn w:val="Heading3"/>
    <w:rsid w:val="00E41A0B"/>
    <w:pPr>
      <w:numPr>
        <w:ilvl w:val="0"/>
        <w:numId w:val="0"/>
      </w:numPr>
      <w:spacing w:after="0" w:line="240" w:lineRule="auto"/>
    </w:pPr>
    <w:rPr>
      <w:color w:val="404040"/>
      <w:szCs w:val="34"/>
    </w:rPr>
  </w:style>
  <w:style w:type="paragraph" w:customStyle="1" w:styleId="images">
    <w:name w:val="images"/>
    <w:basedOn w:val="Normal"/>
    <w:qFormat/>
    <w:rsid w:val="00E41A0B"/>
    <w:pPr>
      <w:spacing w:after="0"/>
    </w:pPr>
    <w:rPr>
      <w:noProof/>
    </w:rPr>
  </w:style>
  <w:style w:type="paragraph" w:styleId="ListBullet">
    <w:name w:val="List Bullet"/>
    <w:basedOn w:val="Normal"/>
    <w:rsid w:val="00E41A0B"/>
    <w:pPr>
      <w:numPr>
        <w:ilvl w:val="0"/>
        <w:numId w:val="3"/>
      </w:numPr>
      <w:spacing w:after="240" w:line="260" w:lineRule="exact"/>
    </w:pPr>
    <w:rPr>
      <w:rFonts w:eastAsia="Times New Roman"/>
      <w:szCs w:val="20"/>
    </w:rPr>
  </w:style>
  <w:style w:type="paragraph" w:styleId="NoSpacing">
    <w:name w:val="No Spacing"/>
    <w:link w:val="NoSpacingChar"/>
    <w:uiPriority w:val="1"/>
    <w:qFormat/>
    <w:rsid w:val="00E41A0B"/>
    <w:rPr>
      <w:rFonts w:ascii="Calibri" w:hAnsi="Calibri"/>
      <w:sz w:val="22"/>
      <w:szCs w:val="22"/>
      <w:lang w:val="en-US" w:eastAsia="en-US" w:bidi="ar-SA"/>
    </w:rPr>
  </w:style>
  <w:style w:type="character" w:customStyle="1" w:styleId="NoSpacingChar">
    <w:name w:val="No Spacing Char"/>
    <w:link w:val="NoSpacing"/>
    <w:uiPriority w:val="1"/>
    <w:rsid w:val="00E41A0B"/>
    <w:rPr>
      <w:rFonts w:ascii="Calibri" w:hAnsi="Calibri"/>
      <w:sz w:val="22"/>
      <w:szCs w:val="22"/>
      <w:lang w:val="en-US" w:eastAsia="en-US" w:bidi="ar-SA"/>
    </w:rPr>
  </w:style>
  <w:style w:type="paragraph" w:customStyle="1" w:styleId="notes">
    <w:name w:val="notes"/>
    <w:basedOn w:val="heading40"/>
    <w:qFormat/>
    <w:rsid w:val="00E41A0B"/>
    <w:pPr>
      <w:outlineLvl w:val="9"/>
    </w:pPr>
    <w:rPr>
      <w:rFonts w:ascii="Segoe UI" w:hAnsi="Segoe UI"/>
      <w:sz w:val="20"/>
      <w:lang w:eastAsia="es-CO"/>
    </w:rPr>
  </w:style>
  <w:style w:type="paragraph" w:customStyle="1" w:styleId="Notestitle">
    <w:name w:val="Notes title"/>
    <w:basedOn w:val="notes"/>
    <w:qFormat/>
    <w:rsid w:val="00E41A0B"/>
  </w:style>
  <w:style w:type="paragraph" w:customStyle="1" w:styleId="TableText">
    <w:name w:val="Table Text"/>
    <w:rsid w:val="00E41A0B"/>
    <w:pPr>
      <w:spacing w:before="100"/>
    </w:pPr>
    <w:rPr>
      <w:rFonts w:ascii="Segoe UI" w:hAnsi="Segoe UI"/>
      <w:color w:val="595959"/>
      <w:sz w:val="16"/>
      <w:lang w:val="en-US" w:eastAsia="en-US" w:bidi="ar-SA"/>
    </w:rPr>
  </w:style>
  <w:style w:type="paragraph" w:customStyle="1" w:styleId="Total">
    <w:name w:val="Total"/>
    <w:basedOn w:val="TableText"/>
    <w:rsid w:val="00E41A0B"/>
    <w:pPr>
      <w:jc w:val="right"/>
    </w:pPr>
    <w:rPr>
      <w:b/>
      <w:bCs/>
    </w:rPr>
  </w:style>
  <w:style w:type="paragraph" w:customStyle="1" w:styleId="PageNumber1">
    <w:name w:val="Page Number1"/>
    <w:basedOn w:val="Total"/>
    <w:qFormat/>
    <w:rsid w:val="00E41A0B"/>
    <w:pPr>
      <w:spacing w:before="40"/>
      <w:jc w:val="left"/>
    </w:pPr>
  </w:style>
  <w:style w:type="paragraph" w:customStyle="1" w:styleId="StyleHeading1NotBold">
    <w:name w:val="Style Heading 1 + Not Bold"/>
    <w:basedOn w:val="Heading1"/>
    <w:rsid w:val="00E41A0B"/>
    <w:pPr>
      <w:numPr>
        <w:ilvl w:val="0"/>
        <w:numId w:val="0"/>
      </w:numPr>
    </w:pPr>
    <w:rPr>
      <w:b/>
    </w:rPr>
  </w:style>
  <w:style w:type="paragraph" w:customStyle="1" w:styleId="StyleProjectNameAllerLightRight">
    <w:name w:val="Style Project Name + Aller Light Right"/>
    <w:basedOn w:val="Normal"/>
    <w:rsid w:val="00E41A0B"/>
    <w:pPr>
      <w:spacing w:before="100" w:after="0" w:line="240" w:lineRule="auto"/>
      <w:jc w:val="right"/>
    </w:pPr>
    <w:rPr>
      <w:rFonts w:ascii="Aller Light" w:eastAsia="Times New Roman" w:hAnsi="Aller Light"/>
      <w:color w:val="808080"/>
      <w:sz w:val="44"/>
      <w:szCs w:val="20"/>
    </w:rPr>
  </w:style>
  <w:style w:type="paragraph" w:customStyle="1" w:styleId="StyleStyleProjectNameAllerLightRightAller40ptText1">
    <w:name w:val="Style Style Project Name + Aller Light Right + Aller 40 pt Text 1"/>
    <w:basedOn w:val="StyleProjectNameAllerLightRight"/>
    <w:rsid w:val="00E41A0B"/>
    <w:rPr>
      <w:rFonts w:ascii="Neo Sans Std" w:hAnsi="Neo Sans Std"/>
      <w:color w:val="595959"/>
      <w:sz w:val="80"/>
    </w:rPr>
  </w:style>
  <w:style w:type="paragraph" w:customStyle="1" w:styleId="StyleStyleProjectNameAllerLightRightAller40ptText11">
    <w:name w:val="Style Style Project Name + Aller Light Right + Aller 40 pt Text 11"/>
    <w:basedOn w:val="StyleProjectNameAllerLightRight"/>
    <w:rsid w:val="00E41A0B"/>
    <w:rPr>
      <w:rFonts w:ascii="Neo Sans Std" w:hAnsi="Neo Sans Std"/>
      <w:color w:val="2E5E88"/>
      <w:sz w:val="40"/>
    </w:rPr>
  </w:style>
  <w:style w:type="paragraph" w:customStyle="1" w:styleId="StyleStyleProposalAllerText1TopNoborderRight">
    <w:name w:val="Style Style Proposal + Aller Text 1 Top: (No border) + Right"/>
    <w:basedOn w:val="Normal"/>
    <w:rsid w:val="00E41A0B"/>
    <w:pPr>
      <w:spacing w:after="0" w:line="240" w:lineRule="auto"/>
      <w:jc w:val="right"/>
    </w:pPr>
    <w:rPr>
      <w:rFonts w:eastAsia="Times New Roman"/>
      <w:sz w:val="76"/>
      <w:szCs w:val="20"/>
    </w:rPr>
  </w:style>
  <w:style w:type="paragraph" w:customStyle="1" w:styleId="textoheader">
    <w:name w:val="texto header"/>
    <w:basedOn w:val="Normal"/>
    <w:qFormat/>
    <w:rsid w:val="00E41A0B"/>
    <w:pPr>
      <w:pBdr>
        <w:left w:val="single" w:sz="4" w:space="4" w:color="595959"/>
      </w:pBdr>
      <w:tabs>
        <w:tab w:val="left" w:pos="1620"/>
      </w:tabs>
      <w:spacing w:after="0" w:line="240" w:lineRule="auto"/>
      <w:jc w:val="right"/>
    </w:pPr>
    <w:rPr>
      <w:rFonts w:ascii="Neo Sans Std" w:hAnsi="Neo Sans Std"/>
      <w:color w:val="808080"/>
      <w:sz w:val="26"/>
      <w:szCs w:val="26"/>
    </w:rPr>
  </w:style>
  <w:style w:type="paragraph" w:customStyle="1" w:styleId="Titulotabla">
    <w:name w:val="Titulo tabla"/>
    <w:qFormat/>
    <w:rsid w:val="00E41A0B"/>
    <w:pPr>
      <w:tabs>
        <w:tab w:val="left" w:pos="1620"/>
      </w:tabs>
      <w:spacing w:before="40"/>
    </w:pPr>
    <w:rPr>
      <w:rFonts w:ascii="Segoe UI" w:eastAsia="Calibri" w:hAnsi="Segoe UI"/>
      <w:color w:val="595959"/>
      <w:sz w:val="22"/>
      <w:szCs w:val="28"/>
      <w:lang w:val="es-CO" w:eastAsia="en-US" w:bidi="ar-SA"/>
    </w:rPr>
  </w:style>
  <w:style w:type="paragraph" w:styleId="TOAHeading">
    <w:name w:val="toa heading"/>
    <w:basedOn w:val="Normal"/>
    <w:next w:val="Normal"/>
    <w:uiPriority w:val="99"/>
    <w:unhideWhenUsed/>
    <w:rsid w:val="00E41A0B"/>
    <w:pPr>
      <w:spacing w:before="120"/>
    </w:pPr>
    <w:rPr>
      <w:rFonts w:ascii="Neo Sans Std" w:eastAsia="Times New Roman" w:hAnsi="Neo Sans Std"/>
      <w:bCs/>
      <w:color w:val="1A2A44"/>
      <w:sz w:val="30"/>
      <w:szCs w:val="24"/>
    </w:rPr>
  </w:style>
  <w:style w:type="paragraph" w:styleId="TOC4">
    <w:name w:val="toc 4"/>
    <w:basedOn w:val="ModelerNormal"/>
    <w:next w:val="ModelerNormal"/>
    <w:autoRedefine/>
    <w:uiPriority w:val="39"/>
    <w:unhideWhenUsed/>
    <w:rsid w:val="00E41A0B"/>
    <w:pPr>
      <w:tabs>
        <w:tab w:val="left" w:pos="1542"/>
        <w:tab w:val="right" w:leader="dot" w:pos="8828"/>
      </w:tabs>
      <w:spacing w:before="120" w:after="0"/>
      <w:ind w:left="601"/>
      <w:jc w:val="both"/>
    </w:pPr>
  </w:style>
  <w:style w:type="paragraph" w:styleId="TOC6">
    <w:name w:val="toc 6"/>
    <w:basedOn w:val="TOC3"/>
    <w:next w:val="Normal"/>
    <w:autoRedefine/>
    <w:uiPriority w:val="39"/>
    <w:unhideWhenUsed/>
    <w:rsid w:val="00E41A0B"/>
    <w:pPr>
      <w:spacing w:after="100"/>
      <w:ind w:left="2268"/>
    </w:pPr>
  </w:style>
  <w:style w:type="paragraph" w:customStyle="1" w:styleId="website">
    <w:name w:val="website"/>
    <w:basedOn w:val="Footer"/>
    <w:qFormat/>
    <w:rsid w:val="00E41A0B"/>
    <w:pPr>
      <w:tabs>
        <w:tab w:val="clear" w:pos="4419"/>
        <w:tab w:val="center" w:pos="4680"/>
        <w:tab w:val="clear" w:pos="8838"/>
        <w:tab w:val="right" w:pos="9360"/>
      </w:tabs>
      <w:spacing w:after="200" w:line="260" w:lineRule="exact"/>
      <w:ind w:left="630"/>
      <w:jc w:val="right"/>
    </w:pPr>
    <w:rPr>
      <w:rFonts w:eastAsia="Times New Roman"/>
      <w:noProof/>
      <w:szCs w:val="20"/>
    </w:rPr>
  </w:style>
  <w:style w:type="numbering" w:customStyle="1" w:styleId="Headings">
    <w:name w:val="Headings"/>
    <w:uiPriority w:val="99"/>
    <w:rsid w:val="007E50A6"/>
    <w:pPr>
      <w:numPr>
        <w:numId w:val="5"/>
      </w:numPr>
    </w:pPr>
  </w:style>
  <w:style w:type="paragraph" w:customStyle="1" w:styleId="bizTitle">
    <w:name w:val="bizTitle"/>
    <w:basedOn w:val="Normal"/>
    <w:next w:val="Title"/>
    <w:link w:val="bizTitleChar"/>
    <w:qFormat/>
    <w:rsid w:val="00C55278"/>
    <w:pPr>
      <w:spacing w:before="240" w:after="60" w:line="240" w:lineRule="auto"/>
      <w:jc w:val="right"/>
      <w:outlineLvl w:val="0"/>
    </w:pPr>
    <w:rPr>
      <w:rFonts w:ascii="Segoe UI Semilight" w:eastAsia="Times New Roman" w:hAnsi="Segoe UI Semilight" w:cs="Vrinda"/>
      <w:bCs/>
      <w:color w:val="212D34"/>
      <w:kern w:val="28"/>
      <w:sz w:val="96"/>
      <w:szCs w:val="32"/>
    </w:rPr>
  </w:style>
  <w:style w:type="paragraph" w:customStyle="1" w:styleId="bizSubtitle">
    <w:name w:val="bizSubtitle"/>
    <w:basedOn w:val="Subtitle"/>
    <w:next w:val="Subtitle"/>
    <w:link w:val="bizSubtitleChar"/>
    <w:qFormat/>
    <w:rsid w:val="00C55278"/>
    <w:pPr>
      <w:jc w:val="right"/>
    </w:pPr>
    <w:rPr>
      <w:rFonts w:ascii="Segoe UI Semilight" w:hAnsi="Segoe UI Semilight"/>
      <w:color w:val="30646E"/>
      <w:sz w:val="64"/>
    </w:rPr>
  </w:style>
  <w:style w:type="character" w:customStyle="1" w:styleId="ModelerNormalChar">
    <w:name w:val="ModelerNormal Char"/>
    <w:link w:val="ModelerNormal"/>
    <w:rsid w:val="00DA5550"/>
    <w:rPr>
      <w:rFonts w:ascii="Segoe UI" w:eastAsia="Calibri" w:hAnsi="Segoe UI"/>
      <w:color w:val="595959"/>
      <w:szCs w:val="22"/>
      <w:lang w:val="en-US" w:eastAsia="en-US" w:bidi="ar-SA"/>
    </w:rPr>
  </w:style>
  <w:style w:type="character" w:customStyle="1" w:styleId="bizTitleChar">
    <w:name w:val="bizTitle Char"/>
    <w:link w:val="bizTitle"/>
    <w:rsid w:val="00C55278"/>
    <w:rPr>
      <w:rFonts w:ascii="Segoe UI Semilight" w:hAnsi="Segoe UI Semilight" w:cs="Vrinda"/>
      <w:bCs/>
      <w:color w:val="212D34"/>
      <w:kern w:val="28"/>
      <w:sz w:val="96"/>
      <w:szCs w:val="32"/>
      <w:lang w:val="en-US" w:eastAsia="en-US"/>
    </w:rPr>
  </w:style>
  <w:style w:type="paragraph" w:styleId="Title">
    <w:name w:val="Title"/>
    <w:basedOn w:val="Normal"/>
    <w:next w:val="Normal"/>
    <w:link w:val="TitleChar"/>
    <w:uiPriority w:val="10"/>
    <w:qFormat/>
    <w:rsid w:val="00DA5550"/>
    <w:pPr>
      <w:spacing w:before="240" w:after="60"/>
      <w:jc w:val="center"/>
      <w:outlineLvl w:val="0"/>
    </w:pPr>
    <w:rPr>
      <w:rFonts w:ascii="Cambria" w:eastAsia="Times New Roman" w:hAnsi="Cambria" w:cs="Vrinda"/>
      <w:b/>
      <w:bCs/>
      <w:kern w:val="28"/>
      <w:sz w:val="32"/>
      <w:szCs w:val="32"/>
    </w:rPr>
  </w:style>
  <w:style w:type="character" w:customStyle="1" w:styleId="TitleChar">
    <w:name w:val="Title Char"/>
    <w:link w:val="Title"/>
    <w:uiPriority w:val="10"/>
    <w:rsid w:val="00DA5550"/>
    <w:rPr>
      <w:rFonts w:ascii="Cambria" w:eastAsia="Times New Roman" w:hAnsi="Cambria" w:cs="Vrinda"/>
      <w:b/>
      <w:bCs/>
      <w:color w:val="595959"/>
      <w:kern w:val="28"/>
      <w:sz w:val="32"/>
      <w:szCs w:val="32"/>
      <w:lang w:val="en-US" w:eastAsia="en-US" w:bidi="ar-SA"/>
    </w:rPr>
  </w:style>
  <w:style w:type="paragraph" w:customStyle="1" w:styleId="BoldModelerNormal">
    <w:name w:val="BoldModelerNormal"/>
    <w:basedOn w:val="ModelerNormal"/>
    <w:next w:val="ModelerNormal"/>
    <w:qFormat/>
    <w:rsid w:val="00032CAE"/>
    <w:rPr>
      <w:b/>
    </w:rPr>
  </w:style>
  <w:style w:type="paragraph" w:styleId="Subtitle">
    <w:name w:val="Subtitle"/>
    <w:basedOn w:val="Normal"/>
    <w:next w:val="Normal"/>
    <w:link w:val="SubtitleChar"/>
    <w:uiPriority w:val="11"/>
    <w:qFormat/>
    <w:rsid w:val="001E5639"/>
    <w:pPr>
      <w:spacing w:after="60"/>
      <w:jc w:val="center"/>
      <w:outlineLvl w:val="1"/>
    </w:pPr>
    <w:rPr>
      <w:rFonts w:ascii="Cambria" w:eastAsia="Times New Roman" w:hAnsi="Cambria" w:cs="Vrinda"/>
      <w:sz w:val="24"/>
      <w:szCs w:val="24"/>
    </w:rPr>
  </w:style>
  <w:style w:type="character" w:customStyle="1" w:styleId="SubtitleChar">
    <w:name w:val="Subtitle Char"/>
    <w:link w:val="Subtitle"/>
    <w:uiPriority w:val="11"/>
    <w:rsid w:val="001E5639"/>
    <w:rPr>
      <w:rFonts w:ascii="Cambria" w:eastAsia="Times New Roman" w:hAnsi="Cambria" w:cs="Vrinda"/>
      <w:color w:val="595959"/>
      <w:sz w:val="24"/>
      <w:szCs w:val="24"/>
      <w:lang w:val="en-US" w:eastAsia="en-US" w:bidi="ar-SA"/>
    </w:rPr>
  </w:style>
  <w:style w:type="character" w:customStyle="1" w:styleId="bizSubtitleChar">
    <w:name w:val="bizSubtitle Char"/>
    <w:link w:val="bizSubtitle"/>
    <w:rsid w:val="00C55278"/>
    <w:rPr>
      <w:rFonts w:ascii="Segoe UI Semilight" w:hAnsi="Segoe UI Semilight" w:cs="Vrinda"/>
      <w:color w:val="30646E"/>
      <w:sz w:val="64"/>
      <w:szCs w:val="24"/>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png" /><Relationship Id="rId11" Type="http://schemas.openxmlformats.org/officeDocument/2006/relationships/image" Target="media/image4.png" /><Relationship Id="rId12" Type="http://schemas.openxmlformats.org/officeDocument/2006/relationships/image" Target="media/image5.png" /><Relationship Id="rId13" Type="http://schemas.openxmlformats.org/officeDocument/2006/relationships/image" Target="media/image6.png" /><Relationship Id="rId14" Type="http://schemas.openxmlformats.org/officeDocument/2006/relationships/image" Target="media/image7.png" /><Relationship Id="rId15" Type="http://schemas.openxmlformats.org/officeDocument/2006/relationships/header" Target="header2.xml" /><Relationship Id="rId16" Type="http://schemas.openxmlformats.org/officeDocument/2006/relationships/header" Target="header3.xml" /><Relationship Id="rId17" Type="http://schemas.openxmlformats.org/officeDocument/2006/relationships/footer" Target="footer4.xml" /><Relationship Id="rId18" Type="http://schemas.openxmlformats.org/officeDocument/2006/relationships/header" Target="header4.xml" /><Relationship Id="rId19" Type="http://schemas.openxmlformats.org/officeDocument/2006/relationships/image" Target="media/image10.emf"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_rels/footer2.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footer3.xml.rels>&#65279;<?xml version="1.0" encoding="utf-8" standalone="yes"?><Relationships xmlns="http://schemas.openxmlformats.org/package/2006/relationships"><Relationship Id="rId1" Type="http://schemas.openxmlformats.org/officeDocument/2006/relationships/hyperlink" Target="www.bizagi.com" TargetMode="Externa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header3.xml.rels>&#65279;<?xml version="1.0" encoding="utf-8" standalone="yes"?><Relationships xmlns="http://schemas.openxmlformats.org/package/2006/relationships"><Relationship Id="rId1" Type="http://schemas.openxmlformats.org/officeDocument/2006/relationships/image" Target="media/image2.png" /></Relationships>
</file>

<file path=word/_rels/header4.xml.rels>&#65279;<?xml version="1.0" encoding="utf-8" standalone="yes"?><Relationships xmlns="http://schemas.openxmlformats.org/package/2006/relationships"><Relationship Id="rId1" Type="http://schemas.openxmlformats.org/officeDocument/2006/relationships/image" Target="media/image8.png" /><Relationship Id="rId2" Type="http://schemas.openxmlformats.org/officeDocument/2006/relationships/image" Target="media/image9.png"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customXml/itemProps2.xml><?xml version="1.0" encoding="utf-8"?>
<ds:datastoreItem xmlns:ds="http://schemas.openxmlformats.org/officeDocument/2006/customXml" ds:itemID="{678C44E3-98A0-4306-8239-8B36E789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0</TotalTime>
  <Pages>10</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time</dc:creator>
  <cp:lastModifiedBy>time</cp:lastModifiedBy>
  <cp:revision>1</cp:revision>
  <dcterms:created xsi:type="dcterms:W3CDTF">2014-03-13T20:06:00Z</dcterms:created>
  <dcterms:modified xsi:type="dcterms:W3CDTF">2016-12-28T15:17:00Z</dcterms:modified>
</cp:coreProperties>
</file>