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Modernização dos Processos de Recursos Humanos</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Modernização dos Processos de Recursos Humanos</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1</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TO-BE Padronizado-Progressão e promoção a pedido</w:t>
        </w:r>
        <w:r>
          <w:tab/>
        </w:r>
        <w:r>
          <w:fldChar w:fldCharType="begin"/>
        </w:r>
        <w:r>
          <w:instrText xml:space="preserve"> PAGEREF _Toc256000002 \h </w:instrText>
        </w:r>
        <w:r>
          <w:fldChar w:fldCharType="separate"/>
        </w:r>
        <w:r>
          <w:t>3</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Progressão Funcional a pedido</w:t>
        </w:r>
        <w:r>
          <w:tab/>
        </w:r>
        <w:r>
          <w:fldChar w:fldCharType="begin"/>
        </w:r>
        <w:r>
          <w:instrText xml:space="preserve"> PAGEREF _Toc256000003 \h </w:instrText>
        </w:r>
        <w:r>
          <w:fldChar w:fldCharType="separate"/>
        </w:r>
        <w:r>
          <w:t>4</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4</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0199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Corrigir inconformidade</w:t>
        </w:r>
        <w:r>
          <w:tab/>
        </w:r>
        <w:r>
          <w:fldChar w:fldCharType="begin"/>
        </w:r>
        <w:r>
          <w:instrText xml:space="preserve"> PAGEREF _Toc256000005 \h </w:instrText>
        </w:r>
        <w:r>
          <w:fldChar w:fldCharType="separate"/>
        </w:r>
        <w:r>
          <w:t>4</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8027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Solicitar Promoção</w:t>
        </w:r>
        <w:r>
          <w:tab/>
        </w:r>
        <w:r>
          <w:fldChar w:fldCharType="begin"/>
        </w:r>
        <w:r>
          <w:instrText xml:space="preserve"> PAGEREF _Toc256000006 \h </w:instrText>
        </w:r>
        <w:r>
          <w:fldChar w:fldCharType="separate"/>
        </w:r>
        <w:r>
          <w:t>4</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17723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Solicitar Progressão Funcional</w:t>
        </w:r>
        <w:r>
          <w:tab/>
        </w:r>
        <w:r>
          <w:fldChar w:fldCharType="begin"/>
        </w:r>
        <w:r>
          <w:instrText xml:space="preserve"> PAGEREF _Toc256000007 \h </w:instrText>
        </w:r>
        <w:r>
          <w:fldChar w:fldCharType="separate"/>
        </w:r>
        <w:r>
          <w:t>5</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7338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Analisar a solicitação</w:t>
        </w:r>
        <w:r>
          <w:tab/>
        </w:r>
        <w:r>
          <w:fldChar w:fldCharType="begin"/>
        </w:r>
        <w:r>
          <w:instrText xml:space="preserve"> PAGEREF _Toc256000008 \h </w:instrText>
        </w:r>
        <w:r>
          <w:fldChar w:fldCharType="separate"/>
        </w:r>
        <w:r>
          <w:t>6</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908407"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3. Gerar processo</w:t>
        </w:r>
        <w:r>
          <w:tab/>
        </w:r>
        <w:r>
          <w:fldChar w:fldCharType="begin"/>
        </w:r>
        <w:r>
          <w:instrText xml:space="preserve"> PAGEREF _Toc256000009 \h </w:instrText>
        </w:r>
        <w:r>
          <w:fldChar w:fldCharType="separate"/>
        </w:r>
        <w:r>
          <w:t>7</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6372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Elaborar parecer</w:t>
        </w:r>
        <w:r>
          <w:tab/>
        </w:r>
        <w:r>
          <w:fldChar w:fldCharType="begin"/>
        </w:r>
        <w:r>
          <w:instrText xml:space="preserve"> PAGEREF _Toc256000010 \h </w:instrText>
        </w:r>
        <w:r>
          <w:fldChar w:fldCharType="separate"/>
        </w:r>
        <w:r>
          <w:t>7</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9392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5. Assinar documento</w:t>
        </w:r>
        <w:r>
          <w:tab/>
        </w:r>
        <w:r>
          <w:fldChar w:fldCharType="begin"/>
        </w:r>
        <w:r>
          <w:instrText xml:space="preserve"> PAGEREF _Toc256000011 \h </w:instrText>
        </w:r>
        <w:r>
          <w:fldChar w:fldCharType="separate"/>
        </w:r>
        <w:r>
          <w:t>8</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9457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6. Elaborar Portaria</w:t>
        </w:r>
        <w:r>
          <w:tab/>
        </w:r>
        <w:r>
          <w:fldChar w:fldCharType="begin"/>
        </w:r>
        <w:r>
          <w:instrText xml:space="preserve"> PAGEREF _Toc256000012 \h </w:instrText>
        </w:r>
        <w:r>
          <w:fldChar w:fldCharType="separate"/>
        </w:r>
        <w:r>
          <w:t>8</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1035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7. Elaborar Autorização para progressão ou promoção</w:t>
        </w:r>
        <w:r>
          <w:tab/>
        </w:r>
        <w:r>
          <w:fldChar w:fldCharType="begin"/>
        </w:r>
        <w:r>
          <w:instrText xml:space="preserve"> PAGEREF _Toc256000013 \h </w:instrText>
        </w:r>
        <w:r>
          <w:fldChar w:fldCharType="separate"/>
        </w:r>
        <w:r>
          <w:t>9</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3666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Assinar autorização para progressão ou promoção</w:t>
        </w:r>
        <w:r>
          <w:tab/>
        </w:r>
        <w:r>
          <w:fldChar w:fldCharType="begin"/>
        </w:r>
        <w:r>
          <w:instrText xml:space="preserve"> PAGEREF _Toc256000014 \h </w:instrText>
        </w:r>
        <w:r>
          <w:fldChar w:fldCharType="separate"/>
        </w:r>
        <w:r>
          <w:t>9</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9241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9. Assinar processo</w:t>
        </w:r>
        <w:r>
          <w:tab/>
        </w:r>
        <w:r>
          <w:fldChar w:fldCharType="begin"/>
        </w:r>
        <w:r>
          <w:instrText xml:space="preserve"> PAGEREF _Toc256000015 \h </w:instrText>
        </w:r>
        <w:r>
          <w:fldChar w:fldCharType="separate"/>
        </w:r>
        <w:r>
          <w:t>10</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2213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10. Atualizar dados em folha de pagamento</w:t>
        </w:r>
        <w:r>
          <w:tab/>
        </w:r>
        <w:r>
          <w:fldChar w:fldCharType="begin"/>
        </w:r>
        <w:r>
          <w:instrText xml:space="preserve"> PAGEREF _Toc256000016 \h </w:instrText>
        </w:r>
        <w:r>
          <w:fldChar w:fldCharType="separate"/>
        </w:r>
        <w:r>
          <w:t>10</w:t>
        </w:r>
        <w:r>
          <w:fldChar w:fldCharType="end"/>
        </w:r>
      </w:hyperlink>
    </w:p>
    <w:p>
      <w:pPr>
        <w:pStyle w:val="TOC4"/>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96335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11. Lançar ocorrência</w:t>
        </w:r>
        <w:r>
          <w:tab/>
        </w:r>
        <w:r>
          <w:fldChar w:fldCharType="begin"/>
        </w:r>
        <w:r>
          <w:instrText xml:space="preserve"> PAGEREF _Toc256000017 \h </w:instrText>
        </w:r>
        <w:r>
          <w:fldChar w:fldCharType="separate"/>
        </w:r>
        <w:r>
          <w:t>11</w:t>
        </w:r>
        <w:r>
          <w:fldChar w:fldCharType="end"/>
        </w:r>
      </w:hyperlink>
    </w:p>
    <w:p>
      <w:pPr>
        <w:pStyle w:val="TOC4"/>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1857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Notificar servidor</w:t>
        </w:r>
        <w:r>
          <w:tab/>
        </w:r>
        <w:r>
          <w:fldChar w:fldCharType="begin"/>
        </w:r>
        <w:r>
          <w:instrText xml:space="preserve"> PAGEREF _Toc256000018 \h </w:instrText>
        </w:r>
        <w:r>
          <w:fldChar w:fldCharType="separate"/>
        </w:r>
        <w:r>
          <w:t>11</w:t>
        </w:r>
        <w:r>
          <w:fldChar w:fldCharType="end"/>
        </w:r>
      </w:hyperlink>
    </w:p>
    <w:p>
      <w:pPr>
        <w:pStyle w:val="TOC4"/>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8811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Dar ciência na notificação</w:t>
        </w:r>
        <w:r>
          <w:tab/>
        </w:r>
        <w:r>
          <w:fldChar w:fldCharType="begin"/>
        </w:r>
        <w:r>
          <w:instrText xml:space="preserve"> PAGEREF _Toc256000019 \h </w:instrText>
        </w:r>
        <w:r>
          <w:fldChar w:fldCharType="separate"/>
        </w:r>
        <w:r>
          <w:t>12</w:t>
        </w:r>
        <w:r>
          <w:fldChar w:fldCharType="end"/>
        </w:r>
      </w:hyperlink>
    </w:p>
    <w:p>
      <w:pPr>
        <w:pStyle w:val="TOC4"/>
        <w:rPr>
          <w:rFonts w:ascii="Calibri" w:hAnsi="Calibri"/>
          <w:noProof/>
          <w:sz w:val="22"/>
        </w:rPr>
      </w:pPr>
      <w:hyperlink w:anchor="_Toc256000020" w:history="1">
        <w:r>
          <w:rPr>
            <w:rStyle w:val="Hyperlink"/>
          </w:rPr>
          <w:t>1.1.1.16</w:t>
        </w:r>
        <w:r>
          <w:rPr>
            <w:rFonts w:ascii="Calibri" w:hAnsi="Calibri"/>
            <w:noProof/>
            <w:sz w:val="22"/>
          </w:rPr>
          <w:tab/>
        </w:r>
        <w:r>
          <w:drawing>
            <wp:inline>
              <wp:extent cx="152421" cy="152421"/>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418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Corrigir inconformidade</w:t>
        </w:r>
        <w:r>
          <w:tab/>
        </w:r>
        <w:r>
          <w:fldChar w:fldCharType="begin"/>
        </w:r>
        <w:r>
          <w:instrText xml:space="preserve"> PAGEREF _Toc256000020 \h </w:instrText>
        </w:r>
        <w:r>
          <w:fldChar w:fldCharType="separate"/>
        </w:r>
        <w:r>
          <w:t>12</w:t>
        </w:r>
        <w:r>
          <w:fldChar w:fldCharType="end"/>
        </w:r>
      </w:hyperlink>
    </w:p>
    <w:p>
      <w:pPr>
        <w:pStyle w:val="TOC4"/>
        <w:rPr>
          <w:rFonts w:ascii="Calibri" w:hAnsi="Calibri"/>
          <w:noProof/>
          <w:sz w:val="22"/>
        </w:rPr>
      </w:pPr>
      <w:hyperlink w:anchor="_Toc256000021" w:history="1">
        <w:r>
          <w:rPr>
            <w:rStyle w:val="Hyperlink"/>
          </w:rPr>
          <w:t>1.1.1.17</w:t>
        </w:r>
        <w:r>
          <w:rPr>
            <w:rFonts w:ascii="Calibri" w:hAnsi="Calibri"/>
            <w:noProof/>
            <w:sz w:val="22"/>
          </w:rPr>
          <w:tab/>
        </w:r>
        <w:r>
          <w:drawing>
            <wp:inline>
              <wp:extent cx="152421" cy="152421"/>
              <wp:docPr id="100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6032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Ajustar inconformidade</w:t>
        </w:r>
        <w:r>
          <w:tab/>
        </w:r>
        <w:r>
          <w:fldChar w:fldCharType="begin"/>
        </w:r>
        <w:r>
          <w:instrText xml:space="preserve"> PAGEREF _Toc256000021 \h </w:instrText>
        </w:r>
        <w:r>
          <w:fldChar w:fldCharType="separate"/>
        </w:r>
        <w:r>
          <w:t>12</w:t>
        </w:r>
        <w:r>
          <w:fldChar w:fldCharType="end"/>
        </w:r>
      </w:hyperlink>
    </w:p>
    <w:p>
      <w:pPr>
        <w:pStyle w:val="TOC4"/>
        <w:rPr>
          <w:rFonts w:ascii="Calibri" w:hAnsi="Calibri"/>
          <w:noProof/>
          <w:sz w:val="22"/>
        </w:rPr>
      </w:pPr>
      <w:hyperlink w:anchor="_Toc256000022" w:history="1">
        <w:r>
          <w:rPr>
            <w:rStyle w:val="Hyperlink"/>
          </w:rPr>
          <w:t>1.1.1.18</w:t>
        </w:r>
        <w:r>
          <w:rPr>
            <w:rFonts w:ascii="Calibri" w:hAnsi="Calibri"/>
            <w:noProof/>
            <w:sz w:val="22"/>
          </w:rPr>
          <w:tab/>
        </w:r>
        <w:r>
          <w:drawing>
            <wp:inline>
              <wp:extent cx="152421" cy="152421"/>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8089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12. Realizar Cálculo do retroativo</w:t>
        </w:r>
        <w:r>
          <w:tab/>
        </w:r>
        <w:r>
          <w:fldChar w:fldCharType="begin"/>
        </w:r>
        <w:r>
          <w:instrText xml:space="preserve"> PAGEREF _Toc256000022 \h </w:instrText>
        </w:r>
        <w:r>
          <w:fldChar w:fldCharType="separate"/>
        </w:r>
        <w:r>
          <w:t>12</w:t>
        </w:r>
        <w:r>
          <w:fldChar w:fldCharType="end"/>
        </w:r>
      </w:hyperlink>
    </w:p>
    <w:p>
      <w:pPr>
        <w:pStyle w:val="TOC4"/>
        <w:rPr>
          <w:rFonts w:ascii="Calibri" w:hAnsi="Calibri"/>
          <w:noProof/>
          <w:sz w:val="22"/>
        </w:rPr>
      </w:pPr>
      <w:hyperlink w:anchor="_Toc256000023" w:history="1">
        <w:r>
          <w:rPr>
            <w:rStyle w:val="Hyperlink"/>
          </w:rPr>
          <w:t>1.1.1.19</w:t>
        </w:r>
        <w:r>
          <w:rPr>
            <w:rFonts w:ascii="Calibri" w:hAnsi="Calibri"/>
            <w:noProof/>
            <w:sz w:val="22"/>
          </w:rPr>
          <w:tab/>
        </w:r>
        <w:r>
          <w:drawing>
            <wp:inline>
              <wp:extent cx="152421" cy="152421"/>
              <wp:docPr id="1000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61819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13. Analisar Cálculo</w:t>
        </w:r>
        <w:r>
          <w:tab/>
        </w:r>
        <w:r>
          <w:fldChar w:fldCharType="begin"/>
        </w:r>
        <w:r>
          <w:instrText xml:space="preserve"> PAGEREF _Toc256000023 \h </w:instrText>
        </w:r>
        <w:r>
          <w:fldChar w:fldCharType="separate"/>
        </w:r>
        <w:r>
          <w:t>13</w:t>
        </w:r>
        <w:r>
          <w:fldChar w:fldCharType="end"/>
        </w:r>
      </w:hyperlink>
    </w:p>
    <w:p>
      <w:pPr>
        <w:pStyle w:val="TOC4"/>
        <w:rPr>
          <w:rFonts w:ascii="Calibri" w:hAnsi="Calibri"/>
          <w:noProof/>
          <w:sz w:val="22"/>
        </w:rPr>
      </w:pPr>
      <w:hyperlink w:anchor="_Toc256000024" w:history="1">
        <w:r>
          <w:rPr>
            <w:rStyle w:val="Hyperlink"/>
          </w:rPr>
          <w:t>1.1.1.20</w:t>
        </w:r>
        <w:r>
          <w:rPr>
            <w:rFonts w:ascii="Calibri" w:hAnsi="Calibri"/>
            <w:noProof/>
            <w:sz w:val="22"/>
          </w:rPr>
          <w:tab/>
        </w:r>
        <w:r>
          <w:drawing>
            <wp:inline>
              <wp:extent cx="152421" cy="152421"/>
              <wp:docPr id="1000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88575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14. Assinar autorização de despesas (retroativo)</w:t>
        </w:r>
        <w:r>
          <w:tab/>
        </w:r>
        <w:r>
          <w:fldChar w:fldCharType="begin"/>
        </w:r>
        <w:r>
          <w:instrText xml:space="preserve"> PAGEREF _Toc256000024 \h </w:instrText>
        </w:r>
        <w:r>
          <w:fldChar w:fldCharType="separate"/>
        </w:r>
        <w:r>
          <w:t>13</w:t>
        </w:r>
        <w:r>
          <w:fldChar w:fldCharType="end"/>
        </w:r>
      </w:hyperlink>
    </w:p>
    <w:p>
      <w:pPr>
        <w:pStyle w:val="TOC4"/>
        <w:rPr>
          <w:rFonts w:ascii="Calibri" w:hAnsi="Calibri"/>
          <w:noProof/>
          <w:sz w:val="22"/>
        </w:rPr>
      </w:pPr>
      <w:hyperlink w:anchor="_Toc256000025" w:history="1">
        <w:r>
          <w:rPr>
            <w:rStyle w:val="Hyperlink"/>
          </w:rPr>
          <w:t>1.1.1.21</w:t>
        </w:r>
        <w:r>
          <w:rPr>
            <w:rFonts w:ascii="Calibri" w:hAnsi="Calibri"/>
            <w:noProof/>
            <w:sz w:val="22"/>
          </w:rPr>
          <w:tab/>
        </w:r>
        <w:r>
          <w:drawing>
            <wp:inline>
              <wp:extent cx="152421" cy="152421"/>
              <wp:docPr id="1000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785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15. Implantar em folha</w:t>
        </w:r>
        <w:r>
          <w:tab/>
        </w:r>
        <w:r>
          <w:fldChar w:fldCharType="begin"/>
        </w:r>
        <w:r>
          <w:instrText xml:space="preserve"> PAGEREF _Toc256000025 \h </w:instrText>
        </w:r>
        <w:r>
          <w:fldChar w:fldCharType="separate"/>
        </w:r>
        <w:r>
          <w:t>14</w:t>
        </w:r>
        <w:r>
          <w:fldChar w:fldCharType="end"/>
        </w:r>
      </w:hyperlink>
    </w:p>
    <w:p>
      <w:pPr>
        <w:pStyle w:val="TOC4"/>
        <w:rPr>
          <w:rFonts w:ascii="Calibri" w:hAnsi="Calibri"/>
          <w:noProof/>
          <w:sz w:val="22"/>
        </w:rPr>
      </w:pPr>
      <w:hyperlink w:anchor="_Toc256000026" w:history="1">
        <w:r>
          <w:rPr>
            <w:rStyle w:val="Hyperlink"/>
          </w:rPr>
          <w:t>1.1.1.22</w:t>
        </w:r>
        <w:r>
          <w:rPr>
            <w:rFonts w:ascii="Calibri" w:hAnsi="Calibri"/>
            <w:noProof/>
            <w:sz w:val="22"/>
          </w:rPr>
          <w:tab/>
        </w:r>
        <w:r>
          <w:drawing>
            <wp:inline>
              <wp:extent cx="152421" cy="152421"/>
              <wp:docPr id="1000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6992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16. Concluir processo</w:t>
        </w:r>
        <w:r>
          <w:tab/>
        </w:r>
        <w:r>
          <w:fldChar w:fldCharType="begin"/>
        </w:r>
        <w:r>
          <w:instrText xml:space="preserve"> PAGEREF _Toc256000026 \h </w:instrText>
        </w:r>
        <w:r>
          <w:fldChar w:fldCharType="separate"/>
        </w:r>
        <w:r>
          <w:t>14</w:t>
        </w:r>
        <w:r>
          <w:fldChar w:fldCharType="end"/>
        </w:r>
      </w:hyperlink>
    </w:p>
    <w:p>
      <w:pPr>
        <w:pStyle w:val="TOC4"/>
        <w:rPr>
          <w:rFonts w:ascii="Calibri" w:hAnsi="Calibri"/>
          <w:noProof/>
          <w:sz w:val="22"/>
        </w:rPr>
      </w:pPr>
      <w:hyperlink w:anchor="_Toc256000027" w:history="1">
        <w:r>
          <w:rPr>
            <w:rStyle w:val="Hyperlink"/>
          </w:rPr>
          <w:t>1.1.1.23</w:t>
        </w:r>
        <w:r>
          <w:rPr>
            <w:rFonts w:ascii="Calibri" w:hAnsi="Calibri"/>
            <w:noProof/>
            <w:sz w:val="22"/>
          </w:rPr>
          <w:tab/>
        </w:r>
        <w:r>
          <w:drawing>
            <wp:inline>
              <wp:extent cx="152421" cy="152421"/>
              <wp:docPr id="1000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96064"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Ajustar inconformidade</w:t>
        </w:r>
        <w:r>
          <w:tab/>
        </w:r>
        <w:r>
          <w:fldChar w:fldCharType="begin"/>
        </w:r>
        <w:r>
          <w:instrText xml:space="preserve"> PAGEREF _Toc256000027 \h </w:instrText>
        </w:r>
        <w:r>
          <w:fldChar w:fldCharType="separate"/>
        </w:r>
        <w:r>
          <w:t>15</w:t>
        </w:r>
        <w:r>
          <w:fldChar w:fldCharType="end"/>
        </w:r>
      </w:hyperlink>
    </w:p>
    <w:p w:rsidR="00AE3ACF" w:rsidRPr="008D2D31" w:rsidP="00854218">
      <w:pPr>
        <w:jc w:val="center"/>
        <w:sectPr w:rsidSect="00503EE8">
          <w:headerReference w:type="even" r:id="rId14"/>
          <w:headerReference w:type="default" r:id="rId15"/>
          <w:footerReference w:type="default" r:id="rId16"/>
          <w:headerReference w:type="first" r:id="rId17"/>
          <w:pgSz w:w="12240" w:h="15840" w:code="1"/>
          <w:pgMar w:top="1616" w:right="1701" w:bottom="1418" w:left="1701" w:header="709" w:footer="255" w:gutter="0"/>
          <w:cols w:space="708"/>
          <w:docGrid w:linePitch="360"/>
        </w:sectPr>
      </w:pPr>
      <w:r w:rsidRPr="008D2D31">
        <w:fldChar w:fldCharType="end"/>
      </w:r>
    </w:p>
    <w:p>
      <w:pPr>
        <w:pStyle w:val="bizHeading1"/>
      </w:pPr>
      <w:bookmarkStart w:id="2" w:name="_Toc256000002"/>
      <w:r>
        <w:t>TO-BE Padronizado-Progressão e promoção a pedido</w:t>
      </w:r>
      <w:bookmarkEnd w:id="2"/>
    </w:p>
    <w:p>
      <w:pPr>
        <w:jc w:val="center"/>
      </w:pPr>
      <w:r>
        <w:drawing>
          <wp:inline>
            <wp:extent cx="5612130" cy="3334989"/>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17361" name=""/>
                    <pic:cNvPicPr>
                      <a:picLocks noChangeAspect="1"/>
                    </pic:cNvPicPr>
                  </pic:nvPicPr>
                  <pic:blipFill>
                    <a:blip xmlns:r="http://schemas.openxmlformats.org/officeDocument/2006/relationships" r:embed="rId18"/>
                    <a:stretch>
                      <a:fillRect/>
                    </a:stretch>
                  </pic:blipFill>
                  <pic:spPr>
                    <a:xfrm>
                      <a:off x="0" y="0"/>
                      <a:ext cx="5612130" cy="3334989"/>
                    </a:xfrm>
                    <a:prstGeom prst="rect">
                      <a:avLst/>
                    </a:prstGeom>
                  </pic:spPr>
                </pic:pic>
              </a:graphicData>
            </a:graphic>
          </wp:inline>
        </w:drawing>
      </w:r>
    </w:p>
    <w:p>
      <w:pPr>
        <w:sectPr>
          <w:pgSz w:w="12240" w:h="15840"/>
          <w:pgMar w:top="1616" w:right="1701" w:bottom="1418" w:left="1701" w:header="708" w:footer="708"/>
          <w:cols w:space="708"/>
        </w:sectPr>
      </w:pPr>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Este processo tem como escopo as atividades idealizadas para a solicitações de progressão funcional e promoção do servidor efetivo desta SETIC, desde a solicitação feita pelo servidor até o recebimento dos seus vencimentos acrescidos da devida mudança.</w:t>
      </w:r>
    </w:p>
    <w:p>
      <w:pPr>
        <w:pStyle w:val="BoldModelerNormal"/>
      </w:pPr>
      <w:r>
        <w:t xml:space="preserve">Versão: </w:t>
      </w:r>
    </w:p>
    <w:p>
      <w:pPr>
        <w:pStyle w:val="ModelerNormal"/>
      </w:pPr>
      <w:r>
        <w:t>1.0</w:t>
      </w:r>
    </w:p>
    <w:p>
      <w:pPr>
        <w:pStyle w:val="BoldModelerNormal"/>
      </w:pPr>
      <w:r>
        <w:t xml:space="preserve">Autor: </w:t>
      </w:r>
    </w:p>
    <w:p>
      <w:pPr>
        <w:pStyle w:val="ModelerNormal"/>
      </w:pPr>
      <w:r>
        <w:t>Amazonas</w:t>
      </w:r>
    </w:p>
    <w:p>
      <w:pPr>
        <w:pStyle w:val="bizHeading2"/>
      </w:pPr>
      <w:bookmarkStart w:id="3" w:name="47f1f134-67fa-43d0-bbc1-65884d1fe8ba"/>
      <w:bookmarkStart w:id="4" w:name="_Toc256000003"/>
      <w:r>
        <w:t>Progressão Funcional a pedido</w:t>
      </w:r>
      <w:bookmarkEnd w:id="4"/>
    </w:p>
    <w:p>
      <w:pPr>
        <w:pStyle w:val="bizHeading3"/>
      </w:pPr>
      <w:bookmarkEnd w:id="3"/>
      <w:bookmarkStart w:id="5" w:name="_Toc256000004"/>
      <w:r>
        <w:t>Elementos do processo</w:t>
      </w:r>
      <w:bookmarkEnd w:id="5"/>
    </w:p>
    <w:p>
      <w:pPr>
        <w:pStyle w:val="bizHeading4"/>
      </w:pPr>
      <w:bookmarkStart w:id="6" w:name="_Toc256000005"/>
      <w:r>
        <w:drawing>
          <wp:inline>
            <wp:extent cx="152421" cy="152421"/>
            <wp:docPr id="14457128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228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Corrigir inconformidade</w:t>
      </w:r>
      <w:bookmarkEnd w:id="6"/>
    </w:p>
    <w:p/>
    <w:p>
      <w:pPr>
        <w:pStyle w:val="bizHeading4"/>
      </w:pPr>
      <w:bookmarkStart w:id="7" w:name="_Toc256000006"/>
      <w:r>
        <w:drawing>
          <wp:inline>
            <wp:extent cx="152421" cy="152421"/>
            <wp:docPr id="916081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3247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Solicitar Promoção</w:t>
      </w:r>
      <w:bookmarkEnd w:id="7"/>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Solicitação com todas as documentações necessárias anexadas, assinado e encaminhado para a Comissão de Avaliação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Portal do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560"/>
        <w:jc w:val="both"/>
      </w:pPr>
      <w:r>
        <w:rPr>
          <w:rFonts w:ascii="Segoe UI" w:eastAsia="Segoe UI" w:hAnsi="Segoe UI" w:cs="Segoe UI"/>
          <w:b/>
          <w:bCs/>
          <w:i w:val="0"/>
          <w:iCs w:val="0"/>
          <w:color w:val="000000"/>
          <w:sz w:val="16"/>
          <w:szCs w:val="16"/>
        </w:rPr>
        <w:t xml:space="preserve">VI - Promoção: </w:t>
      </w:r>
      <w:r>
        <w:rPr>
          <w:rFonts w:ascii="Segoe UI" w:eastAsia="Segoe UI" w:hAnsi="Segoe UI" w:cs="Segoe UI"/>
          <w:b w:val="0"/>
          <w:bCs w:val="0"/>
          <w:i w:val="0"/>
          <w:iCs w:val="0"/>
          <w:color w:val="000000"/>
          <w:sz w:val="16"/>
          <w:szCs w:val="16"/>
        </w:rPr>
        <w:t xml:space="preserve">passagem do servidor do último padrão de uma classe para o primeiro padrão da classe imediatamente superior. </w:t>
      </w:r>
      <w:r>
        <w:rPr>
          <w:rFonts w:ascii="Segoe UI" w:eastAsia="Segoe UI" w:hAnsi="Segoe UI" w:cs="Segoe UI"/>
          <w:b/>
          <w:bCs/>
          <w:i w:val="0"/>
          <w:iCs w:val="0"/>
          <w:color w:val="000000"/>
          <w:sz w:val="16"/>
          <w:szCs w:val="16"/>
        </w:rPr>
        <w:t>(Inciso acrescido pela Lei Complementar n. 868, de 12/04/2016)</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Abrir Portal do Servidor e em seguida clicar na opção solicitar serviços.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Solicitar promoção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3:</w:t>
      </w:r>
      <w:r>
        <w:rPr>
          <w:rFonts w:ascii="Segoe UI" w:eastAsia="Segoe UI" w:hAnsi="Segoe UI" w:cs="Segoe UI"/>
          <w:b w:val="0"/>
          <w:bCs w:val="0"/>
          <w:i w:val="0"/>
          <w:iCs w:val="0"/>
          <w:color w:val="000000"/>
          <w:sz w:val="16"/>
          <w:szCs w:val="16"/>
        </w:rPr>
        <w:t xml:space="preserve"> Será preenchido automaticamente o nome completo do servidor, </w:t>
      </w:r>
      <w:r>
        <w:rPr>
          <w:rFonts w:ascii="Segoe UI" w:eastAsia="Segoe UI" w:hAnsi="Segoe UI" w:cs="Segoe UI"/>
          <w:b w:val="0"/>
          <w:bCs w:val="0"/>
          <w:i w:val="0"/>
          <w:iCs w:val="0"/>
          <w:color w:val="000000"/>
          <w:sz w:val="16"/>
          <w:szCs w:val="16"/>
          <w:shd w:val="clear" w:color="auto" w:fill="FFFFFF"/>
        </w:rPr>
        <w:t>número da matrícula e cargo. Deverá inserir a data de posse.</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4: </w:t>
      </w:r>
      <w:r>
        <w:rPr>
          <w:rFonts w:ascii="Segoe UI" w:eastAsia="Segoe UI" w:hAnsi="Segoe UI" w:cs="Segoe UI"/>
          <w:b w:val="0"/>
          <w:bCs w:val="0"/>
          <w:i w:val="0"/>
          <w:iCs w:val="0"/>
          <w:color w:val="000000"/>
          <w:sz w:val="16"/>
          <w:szCs w:val="16"/>
        </w:rPr>
        <w:t xml:space="preserve">Anexar as </w:t>
      </w:r>
      <w:r>
        <w:rPr>
          <w:rFonts w:ascii="Segoe UI" w:eastAsia="Segoe UI" w:hAnsi="Segoe UI" w:cs="Segoe UI"/>
          <w:b w:val="0"/>
          <w:bCs w:val="0"/>
          <w:i w:val="0"/>
          <w:iCs w:val="0"/>
          <w:color w:val="000000"/>
          <w:sz w:val="16"/>
          <w:szCs w:val="16"/>
          <w:shd w:val="clear" w:color="auto" w:fill="FFFFFF"/>
        </w:rPr>
        <w:t>avaliações de desempenho que foram realizadas em cada ano. (</w:t>
      </w:r>
      <w:r>
        <w:rPr>
          <w:rFonts w:ascii="Segoe UI" w:eastAsia="Segoe UI" w:hAnsi="Segoe UI" w:cs="Segoe UI"/>
          <w:b w:val="0"/>
          <w:bCs w:val="0"/>
          <w:i w:val="0"/>
          <w:iCs w:val="0"/>
          <w:color w:val="000000"/>
          <w:sz w:val="16"/>
          <w:szCs w:val="16"/>
        </w:rPr>
        <w:t xml:space="preserve">Para a primeira progressão do servidor, deverão ser consideradas como Avaliação Especial de Desempenho Individual as avaliações realizadas para o Estágio Probatório do servidor.)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shd w:val="clear" w:color="auto" w:fill="FFFFFF"/>
        </w:rPr>
        <w:t xml:space="preserve">Tarefa 5: </w:t>
      </w:r>
      <w:r>
        <w:rPr>
          <w:rFonts w:ascii="Segoe UI" w:eastAsia="Segoe UI" w:hAnsi="Segoe UI" w:cs="Segoe UI"/>
          <w:b w:val="0"/>
          <w:bCs w:val="0"/>
          <w:i w:val="0"/>
          <w:iCs w:val="0"/>
          <w:color w:val="000000"/>
          <w:sz w:val="16"/>
          <w:szCs w:val="16"/>
          <w:shd w:val="clear" w:color="auto" w:fill="FFFFFF"/>
        </w:rPr>
        <w:t xml:space="preserve">Anexar os certificados dos cursos de capacitação, cuja carga horária deverá somar, no total do período, 80 horas por ano avaliado.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shd w:val="clear" w:color="auto" w:fill="FFFFFF"/>
        </w:rPr>
        <w:t>Tarefa 6:</w:t>
      </w:r>
      <w:r>
        <w:rPr>
          <w:rFonts w:ascii="Segoe UI" w:eastAsia="Segoe UI" w:hAnsi="Segoe UI" w:cs="Segoe UI"/>
          <w:b w:val="0"/>
          <w:bCs w:val="0"/>
          <w:i w:val="0"/>
          <w:iCs w:val="0"/>
          <w:color w:val="000000"/>
          <w:sz w:val="16"/>
          <w:szCs w:val="16"/>
          <w:shd w:val="clear" w:color="auto" w:fill="FFFFFF"/>
        </w:rPr>
        <w:t xml:space="preserve"> Anexar certidões negativas: da Corregedoria-Geral da Administração; Cível e Criminal do Tribunal de Justiça do Estado de Rondônia;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shd w:val="clear" w:color="auto" w:fill="FFFFFF"/>
        </w:rPr>
        <w:t xml:space="preserve">Tarefa 7: </w:t>
      </w:r>
      <w:r>
        <w:rPr>
          <w:rFonts w:ascii="Segoe UI" w:eastAsia="Segoe UI" w:hAnsi="Segoe UI" w:cs="Segoe UI"/>
          <w:b w:val="0"/>
          <w:bCs w:val="0"/>
          <w:i w:val="0"/>
          <w:iCs w:val="0"/>
          <w:color w:val="000000"/>
          <w:sz w:val="16"/>
          <w:szCs w:val="16"/>
          <w:shd w:val="clear" w:color="auto" w:fill="FFFFFF"/>
        </w:rPr>
        <w:t xml:space="preserve">Anexar certidão comprovando não ter sofrido penalidade disciplinar nos 12 (doze) meses anteriores à promoção ou à progressão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8:</w:t>
      </w:r>
      <w:r>
        <w:rPr>
          <w:rFonts w:ascii="Segoe UI" w:eastAsia="Segoe UI" w:hAnsi="Segoe UI" w:cs="Segoe UI"/>
          <w:b w:val="0"/>
          <w:bCs w:val="0"/>
          <w:i w:val="0"/>
          <w:iCs w:val="0"/>
          <w:color w:val="000000"/>
          <w:sz w:val="16"/>
          <w:szCs w:val="16"/>
        </w:rPr>
        <w:t xml:space="preserve"> Assinar solicitação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9: </w:t>
      </w:r>
      <w:r>
        <w:rPr>
          <w:rFonts w:ascii="Segoe UI" w:eastAsia="Segoe UI" w:hAnsi="Segoe UI" w:cs="Segoe UI"/>
          <w:b w:val="0"/>
          <w:bCs w:val="0"/>
          <w:i w:val="0"/>
          <w:iCs w:val="0"/>
          <w:color w:val="000000"/>
          <w:sz w:val="16"/>
          <w:szCs w:val="16"/>
        </w:rPr>
        <w:t>Enviar solicitação para Comissão de Avaliação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Vale ressaltar que dependendo do tipo de carreira do servidor, tais informações supramencionadas podem ou não ser incluídas. As documentações expressadas acima foram retiradas do Art. 10 da Lei Complementar nº 748, de 16 de dezembro de 2013, lei que trata sobre os cargos de especialistas em políticas pública e gestão governamental.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8" w:name="_Toc256000007"/>
      <w:r>
        <w:drawing>
          <wp:inline>
            <wp:extent cx="152421" cy="152421"/>
            <wp:docPr id="20558670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14794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Solicitar Progressão Funcional</w:t>
      </w:r>
      <w:bookmarkEnd w:id="8"/>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Solicitação com todas as documentações necessárias anexadas, assinado e encaminhado para a comissão de avaliação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Portal do Servidor</w:t>
      </w:r>
    </w:p>
    <w:p>
      <w:pPr>
        <w:pStyle w:val="ModelerNormal"/>
        <w:spacing w:before="0" w:after="0" w:afterAutospacing="1"/>
        <w:ind w:left="0" w:right="0" w:firstLine="560"/>
        <w:jc w:val="both"/>
      </w:pPr>
      <w:r>
        <w:rPr>
          <w:rFonts w:ascii="Segoe UI" w:eastAsia="Segoe UI" w:hAnsi="Segoe UI" w:cs="Segoe UI"/>
          <w:b w:val="0"/>
          <w:bCs w:val="0"/>
          <w:i w:val="0"/>
          <w:iCs w:val="0"/>
          <w:color w:val="000000"/>
          <w:sz w:val="16"/>
          <w:szCs w:val="16"/>
        </w:rPr>
        <w:t xml:space="preserve">V - Progressão: passagem do servidor efetivo de um padrão para outro superior, dentro de uma mesma classe; e </w:t>
      </w:r>
      <w:r>
        <w:rPr>
          <w:rFonts w:ascii="Segoe UI" w:eastAsia="Segoe UI" w:hAnsi="Segoe UI" w:cs="Segoe UI"/>
          <w:b/>
          <w:bCs/>
          <w:i w:val="0"/>
          <w:iCs w:val="0"/>
          <w:color w:val="000000"/>
          <w:sz w:val="16"/>
          <w:szCs w:val="16"/>
        </w:rPr>
        <w:t>(Inciso acrescido pela Lei Complementar n. 868, de 12/04/2016)</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Abrir Portal do Servidor e em seguida clicar na opção solicitar serviços.</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Solicitar progressão funcional.</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3:</w:t>
      </w:r>
      <w:r>
        <w:rPr>
          <w:rFonts w:ascii="Segoe UI" w:eastAsia="Segoe UI" w:hAnsi="Segoe UI" w:cs="Segoe UI"/>
          <w:b w:val="0"/>
          <w:bCs w:val="0"/>
          <w:i w:val="0"/>
          <w:iCs w:val="0"/>
          <w:color w:val="000000"/>
          <w:sz w:val="16"/>
          <w:szCs w:val="16"/>
        </w:rPr>
        <w:t xml:space="preserve"> Será preenchido automaticamente o nome completo do servidor, </w:t>
      </w:r>
      <w:r>
        <w:rPr>
          <w:rFonts w:ascii="Segoe UI" w:eastAsia="Segoe UI" w:hAnsi="Segoe UI" w:cs="Segoe UI"/>
          <w:b w:val="0"/>
          <w:bCs w:val="0"/>
          <w:i w:val="0"/>
          <w:iCs w:val="0"/>
          <w:color w:val="000000"/>
          <w:sz w:val="16"/>
          <w:szCs w:val="16"/>
          <w:shd w:val="clear" w:color="auto" w:fill="FFFFFF"/>
        </w:rPr>
        <w:t>número da matrícula e cargo. Deverá inserir a data de posse.</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4: </w:t>
      </w:r>
      <w:r>
        <w:rPr>
          <w:rFonts w:ascii="Segoe UI" w:eastAsia="Segoe UI" w:hAnsi="Segoe UI" w:cs="Segoe UI"/>
          <w:b w:val="0"/>
          <w:bCs w:val="0"/>
          <w:i w:val="0"/>
          <w:iCs w:val="0"/>
          <w:color w:val="000000"/>
          <w:sz w:val="16"/>
          <w:szCs w:val="16"/>
        </w:rPr>
        <w:t xml:space="preserve">Anexar as </w:t>
      </w:r>
      <w:r>
        <w:rPr>
          <w:rFonts w:ascii="Segoe UI" w:eastAsia="Segoe UI" w:hAnsi="Segoe UI" w:cs="Segoe UI"/>
          <w:b w:val="0"/>
          <w:bCs w:val="0"/>
          <w:i w:val="0"/>
          <w:iCs w:val="0"/>
          <w:color w:val="000000"/>
          <w:sz w:val="16"/>
          <w:szCs w:val="16"/>
          <w:shd w:val="clear" w:color="auto" w:fill="FFFFFF"/>
        </w:rPr>
        <w:t>avaliações de desempenho que foram realizadas em cada ano. (</w:t>
      </w:r>
      <w:r>
        <w:rPr>
          <w:rFonts w:ascii="Segoe UI" w:eastAsia="Segoe UI" w:hAnsi="Segoe UI" w:cs="Segoe UI"/>
          <w:b w:val="0"/>
          <w:bCs w:val="0"/>
          <w:i w:val="0"/>
          <w:iCs w:val="0"/>
          <w:color w:val="000000"/>
          <w:sz w:val="16"/>
          <w:szCs w:val="16"/>
        </w:rPr>
        <w:t xml:space="preserve">Para a primeira progressão do servidor, deverão ser consideradas como Avaliação Especial de Desempenho Individual as avaliações realizadas para o Estágio Probatório do servidor.)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 xml:space="preserve">Tarefa 5: </w:t>
      </w:r>
      <w:r>
        <w:rPr>
          <w:rFonts w:ascii="Segoe UI" w:eastAsia="Segoe UI" w:hAnsi="Segoe UI" w:cs="Segoe UI"/>
          <w:b w:val="0"/>
          <w:bCs w:val="0"/>
          <w:i w:val="0"/>
          <w:iCs w:val="0"/>
          <w:color w:val="000000"/>
          <w:sz w:val="16"/>
          <w:szCs w:val="16"/>
          <w:shd w:val="clear" w:color="auto" w:fill="FFFFFF"/>
        </w:rPr>
        <w:t xml:space="preserve">Anexar os certificados dos cursos de capacitação, cuja carga horária deverá somar, no total do período, 80 horas por ano avaliado.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Tarefa 6:</w:t>
      </w:r>
      <w:r>
        <w:rPr>
          <w:rFonts w:ascii="Segoe UI" w:eastAsia="Segoe UI" w:hAnsi="Segoe UI" w:cs="Segoe UI"/>
          <w:b w:val="0"/>
          <w:bCs w:val="0"/>
          <w:i w:val="0"/>
          <w:iCs w:val="0"/>
          <w:color w:val="000000"/>
          <w:sz w:val="16"/>
          <w:szCs w:val="16"/>
          <w:shd w:val="clear" w:color="auto" w:fill="FFFFFF"/>
        </w:rPr>
        <w:t xml:space="preserve"> Anexar certidões negativas: da Corregedoria-Geral da Administração; Cível e Criminal do Tribunal de Justiça do Estado de Rondônia;</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 xml:space="preserve">Tarefa 7: </w:t>
      </w:r>
      <w:r>
        <w:rPr>
          <w:rFonts w:ascii="Segoe UI" w:eastAsia="Segoe UI" w:hAnsi="Segoe UI" w:cs="Segoe UI"/>
          <w:b w:val="0"/>
          <w:bCs w:val="0"/>
          <w:i w:val="0"/>
          <w:iCs w:val="0"/>
          <w:color w:val="000000"/>
          <w:sz w:val="16"/>
          <w:szCs w:val="16"/>
          <w:shd w:val="clear" w:color="auto" w:fill="FFFFFF"/>
        </w:rPr>
        <w:t xml:space="preserve">Anexar certidão comprovando não ter sofrido penalidade disciplinar nos 12 (doze) meses anteriores à promoção ou à progressão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8:</w:t>
      </w:r>
      <w:r>
        <w:rPr>
          <w:rFonts w:ascii="Segoe UI" w:eastAsia="Segoe UI" w:hAnsi="Segoe UI" w:cs="Segoe UI"/>
          <w:b w:val="0"/>
          <w:bCs w:val="0"/>
          <w:i w:val="0"/>
          <w:iCs w:val="0"/>
          <w:color w:val="000000"/>
          <w:sz w:val="16"/>
          <w:szCs w:val="16"/>
        </w:rPr>
        <w:t xml:space="preserve"> Assinar solicitação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9: </w:t>
      </w:r>
      <w:r>
        <w:rPr>
          <w:rFonts w:ascii="Segoe UI" w:eastAsia="Segoe UI" w:hAnsi="Segoe UI" w:cs="Segoe UI"/>
          <w:b w:val="0"/>
          <w:bCs w:val="0"/>
          <w:i w:val="0"/>
          <w:iCs w:val="0"/>
          <w:color w:val="000000"/>
          <w:sz w:val="16"/>
          <w:szCs w:val="16"/>
        </w:rPr>
        <w:t>Enviar solicitação para Comissão de Avaliação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Vale ressaltar que dependendo do tipo de carreira do servidor, tais informações supramencionadas podem ou não ser incluídas. As documentações expressadas acima foram retiradas do Art. 10 da Lei Complementar nº 748, de 16 de dezembro de 2013, lei que trata sobre os cargos de especialistas em políticas pública e gestão governamental.</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bizHeading4"/>
      </w:pPr>
      <w:bookmarkStart w:id="9" w:name="_Toc256000008"/>
      <w:r>
        <w:drawing>
          <wp:inline>
            <wp:extent cx="152421" cy="152421"/>
            <wp:docPr id="10351246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4062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Analisar a solicitação</w:t>
      </w:r>
      <w:bookmarkEnd w:id="9"/>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Definição de pronto:</w:t>
      </w:r>
      <w:r>
        <w:rPr>
          <w:rFonts w:ascii="Segoe UI" w:eastAsia="Segoe UI" w:hAnsi="Segoe UI" w:cs="Segoe UI"/>
          <w:b w:val="0"/>
          <w:bCs w:val="0"/>
          <w:i w:val="0"/>
          <w:iCs w:val="0"/>
          <w:color w:val="000000"/>
          <w:sz w:val="16"/>
          <w:szCs w:val="16"/>
        </w:rPr>
        <w:t xml:space="preserve"> Documentações analisadas</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ALPHA</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A comissão irá fazer a análise das documentações anexadas, verificando sua veracidade.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A comissão analisará ainda se: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O solicitante está no quadro de servidores efetivos da secretaria;</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xml:space="preserve">O solicitante possui tempo de serviço suficiente para solicitar progressão ou promoção. * Especifico para cada carreira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O solicitante foi aprovado no boletim de avaliação (avaliação de desempenho).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Vale ressaltar que dependendo do tipo de carreira do servidor, a comissão fará uma análise considerando outros tópicos específicos.</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Independente da forma de análise serão abertos 3 caminhos:</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Em casos de inconformidade documental, a comissão de avaliação solicitará ao servidor que faça as devidas correções.</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Em casos em que o servidor não tem direito a progressão funcional ou a promoção, a comissão de avaliação irá notificar o servidor da situação e o processo será encerrado.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Em casos de deferimento, a comissão de avaliação irá elaborar um parecer afirmando a concordância na solicitação de promoção ou progressão do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0" w:name="_Toc256000009"/>
      <w:r>
        <w:drawing>
          <wp:inline>
            <wp:extent cx="152421" cy="152421"/>
            <wp:docPr id="3701238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34317"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3. Gerar processo</w:t>
      </w:r>
      <w:bookmarkEnd w:id="10"/>
      <w:r>
        <w:t> </w:t>
      </w:r>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Definição de pronto:</w:t>
      </w:r>
      <w:r>
        <w:rPr>
          <w:rFonts w:ascii="Segoe UI" w:eastAsia="Segoe UI" w:hAnsi="Segoe UI" w:cs="Segoe UI"/>
          <w:b w:val="0"/>
          <w:bCs w:val="0"/>
          <w:i w:val="0"/>
          <w:iCs w:val="0"/>
          <w:color w:val="000000"/>
          <w:sz w:val="16"/>
          <w:szCs w:val="16"/>
        </w:rPr>
        <w:t xml:space="preserve"> Processo criado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Será gerado o processo no sistema SEI com as informações contidas na solicitação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oldModelerNormal"/>
      </w:pPr>
      <w:r>
        <w:t>Implementação</w:t>
      </w:r>
    </w:p>
    <w:p>
      <w:pPr>
        <w:pStyle w:val="ModelerNormal"/>
      </w:pPr>
      <w:r>
        <w:t>Serviço Web</w:t>
      </w:r>
    </w:p>
    <w:p>
      <w:pPr>
        <w:pStyle w:val="bizHeading4"/>
      </w:pPr>
      <w:bookmarkStart w:id="11" w:name="_Toc256000010"/>
      <w:r>
        <w:drawing>
          <wp:inline>
            <wp:extent cx="152421" cy="152421"/>
            <wp:docPr id="151714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43122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Elaborar parecer</w:t>
      </w:r>
      <w:bookmarkEnd w:id="11"/>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 xml:space="preserve">Parecer de deferimento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 xml:space="preserve">Elaborar documento contendo o nome completo do servidor, cargo, lotação e número da matrícula.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Serão incluídas as fundamentações necessárias atestando o direito à promoção ou progressão do servidor, ou seja, que o solicitante está ativo no quadro de servidores efetivos da secretaria; que possui tempo de serviço suficiente para solicitar progressão ou promoção e que o solicitante foi aprovado no boletim de avaliação (avaliação de desempenho), entre outras informações específicas de cada carreira.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3:</w:t>
      </w:r>
      <w:r>
        <w:rPr>
          <w:rFonts w:ascii="Segoe UI" w:eastAsia="Segoe UI" w:hAnsi="Segoe UI" w:cs="Segoe UI"/>
          <w:b w:val="0"/>
          <w:bCs w:val="0"/>
          <w:i w:val="0"/>
          <w:iCs w:val="0"/>
          <w:color w:val="000000"/>
          <w:sz w:val="16"/>
          <w:szCs w:val="16"/>
        </w:rPr>
        <w:t xml:space="preserve"> Disponibilizar o parecer no bloco de assinaturas para homologação do Ordenador de Despesas da Superintendência Estadual de Gestão de Pessoas.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2" w:name="_Toc256000011"/>
      <w:r>
        <w:drawing>
          <wp:inline>
            <wp:extent cx="152421" cy="152421"/>
            <wp:docPr id="14197283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514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5. Assinar documento</w:t>
      </w:r>
      <w:bookmarkEnd w:id="12"/>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 xml:space="preserve">Processo assinado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Visualizar o documento homologado no bloco de assinaturas.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Assinar documento.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3" w:name="_Toc256000012"/>
      <w:r>
        <w:drawing>
          <wp:inline>
            <wp:extent cx="152421" cy="152421"/>
            <wp:docPr id="19841395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8537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6. Elaborar Portaria</w:t>
      </w:r>
      <w:bookmarkEnd w:id="13"/>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Definição de pronto:</w:t>
      </w:r>
      <w:r>
        <w:rPr>
          <w:rFonts w:ascii="Segoe UI" w:eastAsia="Segoe UI" w:hAnsi="Segoe UI" w:cs="Segoe UI"/>
          <w:b w:val="0"/>
          <w:bCs w:val="0"/>
          <w:i w:val="0"/>
          <w:iCs w:val="0"/>
          <w:color w:val="000000"/>
          <w:sz w:val="16"/>
          <w:szCs w:val="16"/>
        </w:rPr>
        <w:t xml:space="preserve"> Portaria publicada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Elaborar portaria concedendo a progressão funcional ou promoção para o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2: </w:t>
      </w:r>
      <w:r>
        <w:rPr>
          <w:rFonts w:ascii="Segoe UI" w:eastAsia="Segoe UI" w:hAnsi="Segoe UI" w:cs="Segoe UI"/>
          <w:b w:val="0"/>
          <w:bCs w:val="0"/>
          <w:i w:val="0"/>
          <w:iCs w:val="0"/>
          <w:color w:val="000000"/>
          <w:sz w:val="16"/>
          <w:szCs w:val="16"/>
        </w:rPr>
        <w:t xml:space="preserve">Na portaria deverá constar os seguintes dados do servidor: Nome, matrícula, cargo, classe que o servidor irá progredir e a data da posse.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4" w:name="_Toc256000013"/>
      <w:r>
        <w:drawing>
          <wp:inline>
            <wp:extent cx="152421" cy="152421"/>
            <wp:docPr id="1248055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2583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7. Elaborar Autorização para progressão ou promoção</w:t>
      </w:r>
      <w:bookmarkEnd w:id="14"/>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Documento de autorização de despesas elaborado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Após a publicação da portaria, o RH setorial deverá elaborar um documento solicitando a assinatura do ordenador despesas do órgão de lotação do servidor, com o objetivo de dar celeridade ao processo de progressão ou promoção do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Disponibilizar o documento no bloco de assinaturas do ordenador despesas.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5" w:name="_Toc256000014"/>
      <w:r>
        <w:drawing>
          <wp:inline>
            <wp:extent cx="152421" cy="152421"/>
            <wp:docPr id="8214935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8024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Assinar autorização para progressão ou promoção</w:t>
      </w:r>
      <w:bookmarkEnd w:id="15"/>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Documento de autorização de progressão ou promoção do servidor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Visualizar documento.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Assinar documento.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6" w:name="_Toc256000015"/>
      <w:r>
        <w:drawing>
          <wp:inline>
            <wp:extent cx="152421" cy="152421"/>
            <wp:docPr id="12442957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92035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9. Assinar processo</w:t>
      </w:r>
      <w:bookmarkEnd w:id="16"/>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Processo assinado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Assessora irá visualizar documento.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Assinar documento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7" w:name="_Toc256000016"/>
      <w:r>
        <w:drawing>
          <wp:inline>
            <wp:extent cx="152421" cy="152421"/>
            <wp:docPr id="5739980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7484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10. Atualizar dados em folha de pagamento</w:t>
      </w:r>
      <w:bookmarkEnd w:id="17"/>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 xml:space="preserve">Cargo ou classe alterados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 xml:space="preserve">Governa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Atualizar cargo ou classe do servidor no sistema governa conforme descrito na portaria.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Enviar comprovante da atualização para RH setorial.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8" w:name="_Toc256000017"/>
      <w:r>
        <w:drawing>
          <wp:inline>
            <wp:extent cx="152421" cy="152421"/>
            <wp:docPr id="14161584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7055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11. Lançar ocorrência</w:t>
      </w:r>
      <w:bookmarkEnd w:id="18"/>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 xml:space="preserve"> Ocorrência lançada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E-estado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RH setorial fará o lançamento da mudança de classe ou cargo do servidor no</w:t>
      </w:r>
      <w:r>
        <w:rPr>
          <w:rFonts w:ascii="Segoe UI" w:eastAsia="Segoe UI" w:hAnsi="Segoe UI" w:cs="Segoe UI"/>
          <w:b/>
          <w:bCs/>
          <w:i w:val="0"/>
          <w:iCs w:val="0"/>
          <w:color w:val="000000"/>
          <w:sz w:val="16"/>
          <w:szCs w:val="16"/>
        </w:rPr>
        <w:t xml:space="preserve"> </w:t>
      </w:r>
      <w:r>
        <w:rPr>
          <w:rFonts w:ascii="Segoe UI" w:eastAsia="Segoe UI" w:hAnsi="Segoe UI" w:cs="Segoe UI"/>
          <w:b w:val="0"/>
          <w:bCs w:val="0"/>
          <w:i w:val="0"/>
          <w:iCs w:val="0"/>
          <w:color w:val="000000"/>
          <w:sz w:val="16"/>
          <w:szCs w:val="16"/>
        </w:rPr>
        <w:t>E-estado.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9" w:name="_Toc256000018"/>
      <w:r>
        <w:drawing>
          <wp:inline>
            <wp:extent cx="152421" cy="152421"/>
            <wp:docPr id="8466762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9215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Notificar servidor</w:t>
      </w:r>
      <w:bookmarkEnd w:id="19"/>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Mensagem com justificativa do indeferimento enviada</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ALPHA</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Atividade 1: </w:t>
      </w:r>
      <w:r>
        <w:rPr>
          <w:rFonts w:ascii="Segoe UI" w:eastAsia="Segoe UI" w:hAnsi="Segoe UI" w:cs="Segoe UI"/>
          <w:b w:val="0"/>
          <w:bCs w:val="0"/>
          <w:i w:val="0"/>
          <w:iCs w:val="0"/>
          <w:color w:val="000000"/>
          <w:sz w:val="16"/>
          <w:szCs w:val="16"/>
        </w:rPr>
        <w:t xml:space="preserve">Comissão de avaliação deverá elaborar uma notificação de indeferimento que podem ocorrer pelos seguintes motivos: </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Solicitante não está no quadro de servidores efetivos da secretaria;</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Servidor solicitante não possui tempo de serviço suficiente para solicitar progressão ou promoção.</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Servidor solicitante não foi aprovado no boletim de avaliação.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Atividade 2: </w:t>
      </w:r>
      <w:r>
        <w:rPr>
          <w:rFonts w:ascii="Segoe UI" w:eastAsia="Segoe UI" w:hAnsi="Segoe UI" w:cs="Segoe UI"/>
          <w:b w:val="0"/>
          <w:bCs w:val="0"/>
          <w:i w:val="0"/>
          <w:iCs w:val="0"/>
          <w:color w:val="000000"/>
          <w:sz w:val="16"/>
          <w:szCs w:val="16"/>
        </w:rPr>
        <w:t>Enviar para 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0" w:name="_Toc256000019"/>
      <w:r>
        <w:drawing>
          <wp:inline>
            <wp:extent cx="152421" cy="152421"/>
            <wp:docPr id="8533862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60738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Dar ciência na notificação</w:t>
      </w:r>
      <w:bookmarkEnd w:id="20"/>
    </w:p>
    <w:p/>
    <w:p>
      <w:pPr>
        <w:pStyle w:val="BoldModelerNormal"/>
      </w:pPr>
      <w:r>
        <w:t>Descrição</w:t>
      </w:r>
    </w:p>
    <w:p>
      <w:pPr>
        <w:pStyle w:val="ModelerNormal"/>
        <w:spacing w:before="0" w:after="0" w:afterAutospacing="1"/>
        <w:ind w:left="0" w:right="0" w:firstLine="0"/>
        <w:jc w:val="left"/>
      </w:pPr>
      <w:bookmarkStart w:id="21" w:name="_dx_frag_StartFragment"/>
      <w:bookmarkEnd w:id="21"/>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Servidor ciente do indeferimento.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Portal do Servidor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Caso seu processo seja indeferido, o servidor deverá dar ciência no portal do servidor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 xml:space="preserve">Aparecerá uma mensagem informando o porque do indeferimento da solicitação. </w:t>
      </w:r>
      <w:bookmarkStart w:id="22" w:name="_dx_frag_EndFragment"/>
      <w:bookmarkEnd w:id="22"/>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3" w:name="_Toc256000020"/>
      <w:r>
        <w:drawing>
          <wp:inline>
            <wp:extent cx="152421" cy="152421"/>
            <wp:docPr id="3652245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4864"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Corrigir inconformidade</w:t>
      </w:r>
      <w:bookmarkEnd w:id="23"/>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Definição de pronto:</w:t>
      </w:r>
      <w:r>
        <w:rPr>
          <w:rFonts w:ascii="Segoe UI" w:eastAsia="Segoe UI" w:hAnsi="Segoe UI" w:cs="Segoe UI"/>
          <w:b w:val="0"/>
          <w:bCs w:val="0"/>
          <w:i w:val="0"/>
          <w:iCs w:val="0"/>
          <w:color w:val="000000"/>
          <w:sz w:val="16"/>
          <w:szCs w:val="16"/>
        </w:rPr>
        <w:t xml:space="preserve"> A Inconformidade que foi elencada na mensagem deverá estar corrigida.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Portal do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Receber mensagem elencando a inconformidade</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Corrigir a inconformidade destacada pelo CONDEF</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3:</w:t>
      </w:r>
      <w:r>
        <w:rPr>
          <w:rFonts w:ascii="Segoe UI" w:eastAsia="Segoe UI" w:hAnsi="Segoe UI" w:cs="Segoe UI"/>
          <w:b w:val="0"/>
          <w:bCs w:val="0"/>
          <w:i w:val="0"/>
          <w:iCs w:val="0"/>
          <w:color w:val="000000"/>
          <w:sz w:val="16"/>
          <w:szCs w:val="16"/>
        </w:rPr>
        <w:t xml:space="preserve"> Anexar o arquivo necessário</w:t>
      </w:r>
    </w:p>
    <w:p>
      <w:pPr>
        <w:pStyle w:val="bizHeading4"/>
      </w:pPr>
      <w:bookmarkStart w:id="24" w:name="_Toc256000021"/>
      <w:r>
        <w:drawing>
          <wp:inline>
            <wp:extent cx="152421" cy="152421"/>
            <wp:docPr id="9775547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60910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Ajustar inconformidade</w:t>
      </w:r>
      <w:bookmarkEnd w:id="24"/>
    </w:p>
    <w:p/>
    <w:p>
      <w:pPr>
        <w:pStyle w:val="bizHeading4"/>
      </w:pPr>
      <w:bookmarkStart w:id="25" w:name="_Toc256000022"/>
      <w:r>
        <w:drawing>
          <wp:inline>
            <wp:extent cx="152421" cy="152421"/>
            <wp:docPr id="18442110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3068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12. Realizar Cálculo do retroativo</w:t>
      </w:r>
      <w:bookmarkEnd w:id="25"/>
    </w:p>
    <w:p/>
    <w:p>
      <w:pPr>
        <w:pStyle w:val="BoldModelerNormal"/>
      </w:pPr>
      <w:r>
        <w:t>Descrição</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 xml:space="preserve">Definição de pronto: </w:t>
      </w:r>
      <w:r>
        <w:rPr>
          <w:rFonts w:ascii="Segoe UI" w:eastAsia="Segoe UI" w:hAnsi="Segoe UI" w:cs="Segoe UI"/>
          <w:b w:val="0"/>
          <w:bCs w:val="0"/>
          <w:i w:val="0"/>
          <w:iCs w:val="0"/>
          <w:color w:val="000000"/>
          <w:sz w:val="16"/>
          <w:szCs w:val="16"/>
          <w:shd w:val="clear" w:color="auto" w:fill="FFFFFF"/>
        </w:rPr>
        <w:t>Planilha com os cálculos conluídos.</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 xml:space="preserve">Como: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 xml:space="preserve">Tarefa 1: </w:t>
      </w:r>
      <w:r>
        <w:rPr>
          <w:rFonts w:ascii="Segoe UI" w:eastAsia="Segoe UI" w:hAnsi="Segoe UI" w:cs="Segoe UI"/>
          <w:b w:val="0"/>
          <w:bCs w:val="0"/>
          <w:i w:val="0"/>
          <w:iCs w:val="0"/>
          <w:color w:val="000000"/>
          <w:sz w:val="16"/>
          <w:szCs w:val="16"/>
          <w:shd w:val="clear" w:color="auto" w:fill="FFFFFF"/>
        </w:rPr>
        <w:t>Analisar a documentação (Portaria, Parecer e demais documentos pessoais do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Tarefa 2:</w:t>
      </w:r>
      <w:r>
        <w:rPr>
          <w:rFonts w:ascii="Segoe UI" w:eastAsia="Segoe UI" w:hAnsi="Segoe UI" w:cs="Segoe UI"/>
          <w:b w:val="0"/>
          <w:bCs w:val="0"/>
          <w:i w:val="0"/>
          <w:iCs w:val="0"/>
          <w:color w:val="000000"/>
          <w:sz w:val="16"/>
          <w:szCs w:val="16"/>
          <w:shd w:val="clear" w:color="auto" w:fill="FFFFFF"/>
        </w:rPr>
        <w:t xml:space="preserve"> </w:t>
      </w:r>
      <w:r>
        <w:rPr>
          <w:rFonts w:ascii="Segoe UI" w:eastAsia="Segoe UI" w:hAnsi="Segoe UI" w:cs="Segoe UI"/>
          <w:b w:val="0"/>
          <w:bCs w:val="0"/>
          <w:i w:val="0"/>
          <w:iCs w:val="0"/>
          <w:color w:val="000000"/>
          <w:sz w:val="16"/>
          <w:szCs w:val="16"/>
        </w:rPr>
        <w:t>Pr</w:t>
      </w:r>
      <w:r>
        <w:rPr>
          <w:rFonts w:ascii="Segoe UI" w:eastAsia="Segoe UI" w:hAnsi="Segoe UI" w:cs="Segoe UI"/>
          <w:b w:val="0"/>
          <w:bCs w:val="0"/>
          <w:i w:val="0"/>
          <w:iCs w:val="0"/>
          <w:color w:val="000000"/>
          <w:sz w:val="16"/>
          <w:szCs w:val="16"/>
          <w:shd w:val="clear" w:color="auto" w:fill="FFFFFF"/>
        </w:rPr>
        <w:t>eencher na planilha de cálculo o nome, data de posse e matrícula do servidor.</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Tarefa 3:</w:t>
      </w:r>
      <w:r>
        <w:rPr>
          <w:rFonts w:ascii="Segoe UI" w:eastAsia="Segoe UI" w:hAnsi="Segoe UI" w:cs="Segoe UI"/>
          <w:b w:val="0"/>
          <w:bCs w:val="0"/>
          <w:i w:val="0"/>
          <w:iCs w:val="0"/>
          <w:color w:val="000000"/>
          <w:sz w:val="16"/>
          <w:szCs w:val="16"/>
          <w:shd w:val="clear" w:color="auto" w:fill="FFFFFF"/>
        </w:rPr>
        <w:t xml:space="preserve"> Incluir ficha financeira.</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Tarefa 4:</w:t>
      </w:r>
      <w:r>
        <w:rPr>
          <w:rFonts w:ascii="Segoe UI" w:eastAsia="Segoe UI" w:hAnsi="Segoe UI" w:cs="Segoe UI"/>
          <w:b w:val="0"/>
          <w:bCs w:val="0"/>
          <w:i w:val="0"/>
          <w:iCs w:val="0"/>
          <w:color w:val="000000"/>
          <w:sz w:val="16"/>
          <w:szCs w:val="16"/>
          <w:shd w:val="clear" w:color="auto" w:fill="FFFFFF"/>
        </w:rPr>
        <w:t xml:space="preserve"> Realizar o cálculo com as diferenças de valores (salário antigo X salário atual do servidor conforme mudança de classe ou cargo) </w:t>
      </w:r>
    </w:p>
    <w:p>
      <w:pPr>
        <w:pStyle w:val="ModelerNormal"/>
        <w:spacing w:before="0" w:after="0" w:afterAutospacing="1"/>
        <w:ind w:left="0" w:right="0" w:firstLine="0"/>
        <w:jc w:val="both"/>
      </w:pPr>
      <w:r>
        <w:rPr>
          <w:rFonts w:ascii="Segoe UI" w:eastAsia="Segoe UI" w:hAnsi="Segoe UI" w:cs="Segoe UI"/>
          <w:b/>
          <w:bCs/>
          <w:i w:val="0"/>
          <w:iCs w:val="0"/>
          <w:color w:val="000000"/>
          <w:sz w:val="16"/>
          <w:szCs w:val="16"/>
          <w:shd w:val="clear" w:color="auto" w:fill="FFFFFF"/>
        </w:rPr>
        <w:t xml:space="preserve">Tarefa 5: </w:t>
      </w:r>
      <w:r>
        <w:rPr>
          <w:rFonts w:ascii="Segoe UI" w:eastAsia="Segoe UI" w:hAnsi="Segoe UI" w:cs="Segoe UI"/>
          <w:b w:val="0"/>
          <w:bCs w:val="0"/>
          <w:i w:val="0"/>
          <w:iCs w:val="0"/>
          <w:color w:val="000000"/>
          <w:sz w:val="16"/>
          <w:szCs w:val="16"/>
          <w:shd w:val="clear" w:color="auto" w:fill="FFFFFF"/>
        </w:rPr>
        <w:t>Disponibilizar no bloco de assinaturas do Núcleo de Cálculo da SEGEP para posterior análise.</w:t>
      </w:r>
    </w:p>
    <w:p>
      <w:pPr>
        <w:pStyle w:val="ModelerNormal"/>
        <w:spacing w:before="0" w:after="0" w:afterAutospacing="1"/>
        <w:ind w:left="0" w:right="0" w:firstLine="0"/>
        <w:jc w:val="both"/>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6" w:name="_Toc256000023"/>
      <w:r>
        <w:drawing>
          <wp:inline>
            <wp:extent cx="152421" cy="152421"/>
            <wp:docPr id="15750383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09979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13. Analisar Cálculo</w:t>
      </w:r>
      <w:bookmarkEnd w:id="26"/>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Cálculos Analisados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SEI</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Analisar de maneira superficial a planilha, verificando a conformidade ou inconformidade do cálculo.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Na possibilidade de inconformidade será sinalizado para que o RH corrija o erro.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Em casos de conformidade o fluxo continua sendo enviado a DESP para pagamento.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7" w:name="_Toc256000024"/>
      <w:r>
        <w:drawing>
          <wp:inline>
            <wp:extent cx="152421" cy="152421"/>
            <wp:docPr id="70256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9243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14. Assinar autorização de despesas (retroativo)</w:t>
      </w:r>
      <w:bookmarkEnd w:id="27"/>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Autorização de despesa assinada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SEI</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Visualizar planilha.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 xml:space="preserve">Ordenador de despesas autoriza pagamento do servidor assinando o processo.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8" w:name="_Toc256000025"/>
      <w:r>
        <w:drawing>
          <wp:inline>
            <wp:extent cx="152421" cy="152421"/>
            <wp:docPr id="5907765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26377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15. Implantar em folha</w:t>
      </w:r>
      <w:bookmarkEnd w:id="28"/>
      <w:r>
        <w:t> </w:t>
      </w:r>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Valores da planilha de cálculo implantados em folha de pagamento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 xml:space="preserve">Governa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Implantação em folha de pagamento os valor expressos na planilha de cálculo elaborada pelo RH setorial.</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Despachar comprovante de implantação em folha de pagamento para RH setorial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9" w:name="_Toc256000026"/>
      <w:r>
        <w:drawing>
          <wp:inline>
            <wp:extent cx="152421" cy="152421"/>
            <wp:docPr id="17484658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108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16. Concluir processo</w:t>
      </w:r>
      <w:bookmarkEnd w:id="29"/>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Processo concluído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Comissão de avaliação irá concluir o processo no ALPHA.</w:t>
      </w:r>
    </w:p>
    <w:p>
      <w:pPr>
        <w:pStyle w:val="bizHeading4"/>
      </w:pPr>
      <w:bookmarkStart w:id="30" w:name="_Toc256000027"/>
      <w:r>
        <w:drawing>
          <wp:inline>
            <wp:extent cx="152421" cy="152421"/>
            <wp:docPr id="17654128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86041"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Ajustar inconformidade</w:t>
      </w:r>
      <w:bookmarkEnd w:id="30"/>
    </w:p>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15</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2049" type="#_x0000_t75" style="width:602.95pt;height:432.85pt;margin-top:-35.25pt;margin-left:-84.45pt;mso-height-relative:margin;mso-width-relative:margin;position:absolute;visibility:visible;z-index:-251655168" filled="f" stroked="f">
          <v:imagedata r:id="rId1" o:title=""/>
          <o:lock v:ext="edit" aspectratio="t"/>
        </v:shape>
      </w:pict>
    </w:r>
    <w:r>
      <w:pict>
        <v:shape id="Picture 1" o:spid="_x0000_i2050" type="#_x0000_t75" style="width:168.26pt;height:62.21pt;visibility:visible" o:allowoverlap="f"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2053" type="#_x0000_t75" style="width:96.67pt;height:35.7pt;mso-height-relative:margin;mso-width-relative:margin;visibility:visible" o:allowoverlap="f" filled="f" stroked="f">
          <v:imagedata r:id="rId1" o:title=""/>
          <o:lock v:ext="edit" aspectratio="t"/>
        </v:shape>
      </w:pict>
    </w:r>
    <w:r w:rsidRPr="00B603BE">
      <w:rPr>
        <w:rFonts w:ascii="Tahoma" w:hAnsi="Tahoma" w:cs="Tahoma"/>
        <w:b/>
        <w:color w:val="C0C0C0"/>
        <w:spacing w:val="140"/>
        <w:sz w:val="22"/>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4243"/>
    <w:rsid w:val="00743611"/>
    <w:rsid w:val="00753E90"/>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60254"/>
    <w:rsid w:val="00E63153"/>
    <w:rsid w:val="00E705CD"/>
    <w:rsid w:val="00E7090D"/>
    <w:rsid w:val="00E751A7"/>
    <w:rsid w:val="00E76C13"/>
    <w:rsid w:val="00E77951"/>
    <w:rsid w:val="00E80344"/>
    <w:rsid w:val="00E823BD"/>
    <w:rsid w:val="00E82488"/>
    <w:rsid w:val="00E82879"/>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Heading1Ch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Heading2Ch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Heading3Ch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Heading4Ch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Heading5Ch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Heading6Ch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Heading1Char">
    <w:name w:val="Heading 1 Ch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HeaderChar"/>
    <w:unhideWhenUsed/>
    <w:rsid w:val="00E41A0B"/>
    <w:pPr>
      <w:tabs>
        <w:tab w:val="center" w:pos="4419"/>
        <w:tab w:val="right" w:pos="8838"/>
      </w:tabs>
      <w:spacing w:after="0" w:line="240" w:lineRule="auto"/>
    </w:pPr>
  </w:style>
  <w:style w:type="paragraph" w:styleId="Footer">
    <w:name w:val="footer"/>
    <w:basedOn w:val="Normal"/>
    <w:link w:val="FooterCh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BodyTextCh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
    <w:name w:val="Lista"/>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BalloonTextChar"/>
    <w:uiPriority w:val="99"/>
    <w:unhideWhenUsed/>
    <w:rsid w:val="00E41A0B"/>
    <w:pPr>
      <w:spacing w:after="0" w:line="240" w:lineRule="auto"/>
    </w:pPr>
    <w:rPr>
      <w:rFonts w:ascii="Tahoma" w:hAnsi="Tahoma" w:cs="Tahoma"/>
      <w:sz w:val="16"/>
      <w:szCs w:val="16"/>
    </w:rPr>
  </w:style>
  <w:style w:type="character" w:customStyle="1" w:styleId="BalloonTextChar">
    <w:name w:val="Balloon Text Ch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HeaderChar">
    <w:name w:val="Header Char"/>
    <w:link w:val="Header"/>
    <w:rsid w:val="00E41A0B"/>
    <w:rPr>
      <w:rFonts w:ascii="Segoe UI" w:eastAsia="Calibri" w:hAnsi="Segoe UI"/>
      <w:color w:val="595959"/>
      <w:szCs w:val="22"/>
      <w:lang w:val="en-US" w:eastAsia="en-US" w:bidi="ar-SA"/>
    </w:rPr>
  </w:style>
  <w:style w:type="character" w:customStyle="1" w:styleId="Heading2Char">
    <w:name w:val="Heading 2 Char"/>
    <w:link w:val="Heading2"/>
    <w:uiPriority w:val="9"/>
    <w:rsid w:val="00E41A0B"/>
    <w:rPr>
      <w:rFonts w:ascii="Neo Sans Std" w:hAnsi="Neo Sans Std" w:cs="Arial"/>
      <w:color w:val="2E5E88"/>
      <w:sz w:val="34"/>
      <w:szCs w:val="32"/>
      <w:lang w:val="en-US" w:eastAsia="en-US" w:bidi="ar-SA"/>
    </w:rPr>
  </w:style>
  <w:style w:type="character" w:customStyle="1" w:styleId="BodyTextChar">
    <w:name w:val="Body Text Ch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Heading3Char">
    <w:name w:val="Heading 3 Char"/>
    <w:link w:val="Heading3"/>
    <w:uiPriority w:val="9"/>
    <w:rsid w:val="00E41A0B"/>
    <w:rPr>
      <w:rFonts w:ascii="Neo Sans Std" w:hAnsi="Neo Sans Std" w:cs="Arial"/>
      <w:bCs/>
      <w:color w:val="548DD4"/>
      <w:sz w:val="26"/>
      <w:szCs w:val="26"/>
      <w:lang w:val="en-US" w:eastAsia="en-US" w:bidi="ar-SA"/>
    </w:rPr>
  </w:style>
  <w:style w:type="character" w:customStyle="1" w:styleId="Heading4Char">
    <w:name w:val="Heading 4 Char"/>
    <w:link w:val="Heading4"/>
    <w:uiPriority w:val="9"/>
    <w:rsid w:val="00E41A0B"/>
    <w:rPr>
      <w:rFonts w:ascii="Aller" w:hAnsi="Aller"/>
      <w:iCs/>
      <w:color w:val="7F7F7F"/>
      <w:sz w:val="24"/>
      <w:szCs w:val="26"/>
      <w:lang w:val="en-US" w:eastAsia="en-US" w:bidi="ar-SA"/>
    </w:rPr>
  </w:style>
  <w:style w:type="character" w:customStyle="1" w:styleId="Heading5Char">
    <w:name w:val="Heading 5 Ch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FooterChar">
    <w:name w:val="Footer Ch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Heading6Char">
    <w:name w:val="Heading 6 Ch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NoSpacingChar"/>
    <w:uiPriority w:val="1"/>
    <w:qFormat/>
    <w:rsid w:val="00E41A0B"/>
    <w:rPr>
      <w:rFonts w:ascii="Calibri" w:hAnsi="Calibri"/>
      <w:sz w:val="22"/>
      <w:szCs w:val="22"/>
      <w:lang w:val="en-US" w:eastAsia="en-US" w:bidi="ar-SA"/>
    </w:rPr>
  </w:style>
  <w:style w:type="character" w:customStyle="1" w:styleId="NoSpacingChar">
    <w:name w:val="No Spacing Ch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itleCh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itleChar">
    <w:name w:val="Title Ch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itleChar"/>
    <w:uiPriority w:val="11"/>
    <w:qFormat/>
    <w:rsid w:val="001E5639"/>
    <w:pPr>
      <w:spacing w:after="60"/>
      <w:jc w:val="center"/>
      <w:outlineLvl w:val="1"/>
    </w:pPr>
    <w:rPr>
      <w:rFonts w:ascii="Cambria" w:eastAsia="Times New Roman" w:hAnsi="Cambria" w:cs="Vrinda"/>
      <w:sz w:val="24"/>
      <w:szCs w:val="24"/>
    </w:rPr>
  </w:style>
  <w:style w:type="character" w:customStyle="1" w:styleId="SubtitleChar">
    <w:name w:val="Subtitle Ch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footer" Target="footer4.xml" /><Relationship Id="rId17" Type="http://schemas.openxmlformats.org/officeDocument/2006/relationships/header" Target="header4.xml" /><Relationship Id="rId18" Type="http://schemas.openxmlformats.org/officeDocument/2006/relationships/image" Target="media/image9.emf"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2.png" /></Relationships>
</file>

<file path=word/_rels/header4.xml.rels>&#65279;<?xml version="1.0" encoding="utf-8" standalone="yes"?><Relationships xmlns="http://schemas.openxmlformats.org/package/2006/relationships"><Relationship Id="rId1" Type="http://schemas.openxmlformats.org/officeDocument/2006/relationships/image" Target="media/image7.png" /><Relationship Id="rId2" Type="http://schemas.openxmlformats.org/officeDocument/2006/relationships/image" Target="media/image8.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15</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time</dc:creator>
  <cp:lastModifiedBy>time</cp:lastModifiedBy>
  <cp:revision>1</cp:revision>
  <dcterms:created xsi:type="dcterms:W3CDTF">2014-03-13T20:06:00Z</dcterms:created>
  <dcterms:modified xsi:type="dcterms:W3CDTF">2016-12-28T15:17:00Z</dcterms:modified>
</cp:coreProperties>
</file>